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FF1D" w14:textId="77777777" w:rsidR="00E60B32" w:rsidRPr="00B777AF" w:rsidRDefault="00E60B32"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Intestinal and Multivisceral Transplant</w:t>
      </w:r>
    </w:p>
    <w:p w14:paraId="4661D825" w14:textId="77777777" w:rsidR="00E60B32" w:rsidRDefault="00E60B32" w:rsidP="00D574CA">
      <w:pPr>
        <w:pStyle w:val="PolicyMainHead"/>
        <w:tabs>
          <w:tab w:val="left" w:pos="360"/>
        </w:tabs>
        <w:spacing w:after="0" w:line="240" w:lineRule="auto"/>
        <w:rPr>
          <w:color w:val="00548C"/>
          <w:sz w:val="24"/>
        </w:rPr>
        <w:sectPr w:rsidR="00E60B32"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32ADF0C3" w14:textId="5B845831" w:rsidR="00E60B32" w:rsidRPr="003D7BE7" w:rsidRDefault="00282EED" w:rsidP="00282EED">
      <w:pPr>
        <w:pStyle w:val="PolicyMainHead"/>
        <w:spacing w:after="0" w:line="240" w:lineRule="auto"/>
        <w:ind w:right="90"/>
        <w:jc w:val="right"/>
        <w:rPr>
          <w:rFonts w:ascii="Times New Roman" w:hAnsi="Times New Roman"/>
          <w:color w:val="00548C"/>
          <w:sz w:val="24"/>
          <w:szCs w:val="24"/>
        </w:rPr>
        <w:sectPr w:rsidR="00E60B32" w:rsidRPr="003D7BE7" w:rsidSect="00480C09">
          <w:type w:val="continuous"/>
          <w:pgSz w:w="12240" w:h="15840" w:code="1"/>
          <w:pgMar w:top="1440" w:right="1080" w:bottom="1440" w:left="1080" w:header="576" w:footer="288" w:gutter="0"/>
          <w:cols w:num="2" w:space="720"/>
          <w:titlePg/>
          <w:docGrid w:linePitch="360"/>
        </w:sectPr>
      </w:pPr>
      <w:r>
        <w:rPr>
          <w:rFonts w:ascii="Times New Roman" w:hAnsi="Times New Roman"/>
          <w:color w:val="00548C"/>
          <w:sz w:val="24"/>
          <w:szCs w:val="24"/>
        </w:rPr>
        <w:t xml:space="preserve">  </w:t>
      </w:r>
      <w:r w:rsidR="00E60B32" w:rsidRPr="003D7BE7">
        <w:rPr>
          <w:rFonts w:ascii="Times New Roman" w:hAnsi="Times New Roman"/>
          <w:color w:val="00548C"/>
          <w:sz w:val="24"/>
          <w:szCs w:val="24"/>
        </w:rPr>
        <w:t>Reference Number: CP.</w:t>
      </w:r>
      <w:r w:rsidR="00E60B32">
        <w:rPr>
          <w:rFonts w:ascii="Times New Roman" w:hAnsi="Times New Roman"/>
          <w:color w:val="00548C"/>
          <w:sz w:val="24"/>
          <w:szCs w:val="24"/>
        </w:rPr>
        <w:t>MP.58</w:t>
      </w:r>
      <w:r w:rsidR="00E60B32" w:rsidRPr="003D7BE7">
        <w:rPr>
          <w:rFonts w:ascii="Times New Roman" w:hAnsi="Times New Roman"/>
          <w:color w:val="00548C"/>
          <w:sz w:val="24"/>
          <w:szCs w:val="24"/>
        </w:rPr>
        <w:tab/>
      </w:r>
      <w:r w:rsidR="00E60B32" w:rsidRPr="003D7BE7">
        <w:rPr>
          <w:rFonts w:ascii="Times New Roman" w:hAnsi="Times New Roman"/>
          <w:color w:val="00548C"/>
          <w:sz w:val="24"/>
          <w:szCs w:val="24"/>
        </w:rPr>
        <w:tab/>
      </w:r>
      <w:r w:rsidR="00E60B32" w:rsidRPr="003D7BE7">
        <w:rPr>
          <w:rFonts w:ascii="Times New Roman" w:hAnsi="Times New Roman"/>
          <w:color w:val="00548C"/>
          <w:sz w:val="24"/>
          <w:szCs w:val="24"/>
        </w:rPr>
        <w:tab/>
      </w:r>
      <w:r>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Pr>
          <w:rFonts w:ascii="Times New Roman" w:hAnsi="Times New Roman"/>
          <w:color w:val="00548C"/>
          <w:sz w:val="24"/>
          <w:szCs w:val="24"/>
        </w:rPr>
        <w:t xml:space="preserve">  </w:t>
      </w:r>
    </w:p>
    <w:p w14:paraId="444C42BA" w14:textId="226725C5" w:rsidR="00E60B32" w:rsidRDefault="00E60B32"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Last Review Date:</w:t>
      </w:r>
      <w:r>
        <w:rPr>
          <w:rFonts w:ascii="Times New Roman" w:hAnsi="Times New Roman"/>
          <w:color w:val="00548C"/>
          <w:sz w:val="24"/>
          <w:szCs w:val="24"/>
        </w:rPr>
        <w:t xml:space="preserve"> 0</w:t>
      </w:r>
      <w:r w:rsidR="001B0A2B">
        <w:rPr>
          <w:rFonts w:ascii="Times New Roman" w:hAnsi="Times New Roman"/>
          <w:color w:val="00548C"/>
          <w:sz w:val="24"/>
          <w:szCs w:val="24"/>
        </w:rPr>
        <w:t>6</w:t>
      </w:r>
      <w:r>
        <w:rPr>
          <w:rFonts w:ascii="Times New Roman" w:hAnsi="Times New Roman"/>
          <w:color w:val="00548C"/>
          <w:sz w:val="24"/>
          <w:szCs w:val="24"/>
        </w:rPr>
        <w:t>/</w:t>
      </w:r>
      <w:r w:rsidR="00FE5C3C">
        <w:rPr>
          <w:rFonts w:ascii="Times New Roman" w:hAnsi="Times New Roman"/>
          <w:color w:val="00548C"/>
          <w:sz w:val="24"/>
          <w:szCs w:val="24"/>
        </w:rPr>
        <w:t>19</w:t>
      </w:r>
      <w:r w:rsidR="00FE5C3C" w:rsidRPr="003D7BE7">
        <w:rPr>
          <w:rFonts w:ascii="Times New Roman" w:hAnsi="Times New Roman"/>
          <w:color w:val="00548C"/>
          <w:sz w:val="24"/>
          <w:szCs w:val="24"/>
        </w:rPr>
        <w:t xml:space="preserve"> </w:t>
      </w:r>
    </w:p>
    <w:p w14:paraId="3CA8AA6B" w14:textId="77777777" w:rsidR="00E60B32" w:rsidRDefault="00F9484D" w:rsidP="00875924">
      <w:pPr>
        <w:pStyle w:val="PolicyMainHead"/>
        <w:tabs>
          <w:tab w:val="left" w:pos="360"/>
        </w:tabs>
        <w:spacing w:after="0" w:line="240" w:lineRule="auto"/>
        <w:jc w:val="right"/>
        <w:rPr>
          <w:rStyle w:val="Strong"/>
          <w:rFonts w:ascii="Times New Roman" w:hAnsi="Times New Roman"/>
          <w:b w:val="0"/>
          <w:u w:val="single"/>
        </w:rPr>
        <w:sectPr w:rsidR="00E60B32" w:rsidSect="00875924">
          <w:type w:val="continuous"/>
          <w:pgSz w:w="12240" w:h="15840" w:code="1"/>
          <w:pgMar w:top="1440" w:right="1170" w:bottom="1440" w:left="1440" w:header="576" w:footer="288" w:gutter="0"/>
          <w:cols w:num="2" w:space="720"/>
          <w:titlePg/>
          <w:docGrid w:linePitch="360"/>
        </w:sectPr>
      </w:pPr>
      <w:hyperlink w:anchor="Revision_Log" w:history="1">
        <w:r w:rsidR="00E60B32" w:rsidRPr="003D7BE7">
          <w:rPr>
            <w:rStyle w:val="Hyperlink"/>
            <w:rFonts w:ascii="Times New Roman" w:hAnsi="Times New Roman"/>
            <w:sz w:val="24"/>
            <w:szCs w:val="24"/>
          </w:rPr>
          <w:t>Revision Log</w:t>
        </w:r>
      </w:hyperlink>
      <w:r w:rsidR="00E60B32">
        <w:rPr>
          <w:rFonts w:ascii="Times New Roman" w:hAnsi="Times New Roman"/>
          <w:color w:val="00548C"/>
          <w:sz w:val="24"/>
          <w:szCs w:val="24"/>
        </w:rPr>
        <w:t xml:space="preserve"> </w:t>
      </w:r>
    </w:p>
    <w:p w14:paraId="2D9EA456" w14:textId="77777777" w:rsidR="00E60B32" w:rsidRDefault="00E60B32"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A134C70" w14:textId="77777777" w:rsidR="00E60B32" w:rsidRPr="005D7B81" w:rsidRDefault="00E60B32"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11682C52" w14:textId="77777777" w:rsidR="00E60B32" w:rsidRDefault="00E60B32" w:rsidP="00875924">
      <w:pPr>
        <w:pStyle w:val="NormalWeb"/>
        <w:spacing w:before="0" w:beforeAutospacing="0" w:after="0" w:afterAutospacing="0"/>
        <w:jc w:val="center"/>
        <w:rPr>
          <w:rStyle w:val="Strong"/>
          <w:rFonts w:ascii="Times New Roman" w:hAnsi="Times New Roman"/>
          <w:b w:val="0"/>
          <w:u w:val="single"/>
        </w:rPr>
      </w:pPr>
    </w:p>
    <w:p w14:paraId="64791224" w14:textId="77777777" w:rsidR="00E60B32" w:rsidRPr="00B777AF" w:rsidRDefault="00E60B32">
      <w:pPr>
        <w:pStyle w:val="Heading2"/>
        <w:rPr>
          <w:u w:val="none"/>
        </w:rPr>
      </w:pPr>
      <w:r w:rsidRPr="00B777AF">
        <w:rPr>
          <w:u w:val="none"/>
        </w:rPr>
        <w:t xml:space="preserve">Description </w:t>
      </w:r>
    </w:p>
    <w:p w14:paraId="13B9CC71" w14:textId="77777777" w:rsidR="00E60B32" w:rsidRDefault="00E60B32" w:rsidP="00196935">
      <w:r>
        <w:t xml:space="preserve">Medical necessity criteria for the review of intestinal and </w:t>
      </w:r>
      <w:proofErr w:type="spellStart"/>
      <w:r>
        <w:t>multivisceral</w:t>
      </w:r>
      <w:proofErr w:type="spellEnd"/>
      <w:r>
        <w:t xml:space="preserve"> transplant requests</w:t>
      </w:r>
    </w:p>
    <w:p w14:paraId="59E4CAF7" w14:textId="77777777" w:rsidR="00E60B32" w:rsidRPr="00B777AF" w:rsidRDefault="00E60B32" w:rsidP="00196935"/>
    <w:p w14:paraId="394B3D3F" w14:textId="77777777" w:rsidR="00E60B32" w:rsidRPr="00B777AF" w:rsidRDefault="00E60B32">
      <w:pPr>
        <w:pStyle w:val="Heading2"/>
        <w:rPr>
          <w:u w:val="none"/>
        </w:rPr>
      </w:pPr>
      <w:r w:rsidRPr="00B777AF">
        <w:rPr>
          <w:u w:val="none"/>
        </w:rPr>
        <w:t>Policy/Criteria</w:t>
      </w:r>
    </w:p>
    <w:p w14:paraId="167979B9" w14:textId="77777777" w:rsidR="00E60B32" w:rsidRDefault="00E60B32" w:rsidP="00066226">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any of the intestinal and/or </w:t>
      </w:r>
      <w:proofErr w:type="spellStart"/>
      <w:r>
        <w:t>multivisceral</w:t>
      </w:r>
      <w:proofErr w:type="spellEnd"/>
      <w:r>
        <w:t xml:space="preserve"> transplantation procedures listed in </w:t>
      </w:r>
      <w:r w:rsidRPr="00066226">
        <w:rPr>
          <w:b/>
        </w:rPr>
        <w:t>I</w:t>
      </w:r>
      <w:r>
        <w:t xml:space="preserve"> are </w:t>
      </w:r>
      <w:r w:rsidRPr="005D6347">
        <w:rPr>
          <w:b/>
        </w:rPr>
        <w:t>medically necessary</w:t>
      </w:r>
      <w:r>
        <w:t xml:space="preserve"> for pediatric and adult members to restore function in those with irreversible intestinal failure when meeting the criteria in section </w:t>
      </w:r>
      <w:r w:rsidRPr="00066226">
        <w:rPr>
          <w:b/>
        </w:rPr>
        <w:t>II</w:t>
      </w:r>
      <w:r>
        <w:t>:</w:t>
      </w:r>
    </w:p>
    <w:p w14:paraId="4D3F6DE5" w14:textId="77777777" w:rsidR="00E60B32" w:rsidRDefault="00E60B32" w:rsidP="00066226"/>
    <w:p w14:paraId="1567D32B" w14:textId="77777777" w:rsidR="00E60B32" w:rsidRPr="00066226" w:rsidRDefault="00E60B32" w:rsidP="00066226">
      <w:pPr>
        <w:pStyle w:val="ListParagraph"/>
        <w:numPr>
          <w:ilvl w:val="0"/>
          <w:numId w:val="39"/>
        </w:numPr>
        <w:ind w:left="360"/>
        <w:rPr>
          <w:b/>
        </w:rPr>
      </w:pPr>
      <w:r w:rsidRPr="00066226">
        <w:rPr>
          <w:b/>
        </w:rPr>
        <w:t>Transplantation Procedures</w:t>
      </w:r>
    </w:p>
    <w:p w14:paraId="4B1CDE74" w14:textId="77777777" w:rsidR="00E60B32" w:rsidRPr="003D6912" w:rsidRDefault="00E60B32" w:rsidP="002B6B02">
      <w:pPr>
        <w:numPr>
          <w:ilvl w:val="0"/>
          <w:numId w:val="28"/>
        </w:numPr>
        <w:rPr>
          <w:b/>
          <w:bCs/>
        </w:rPr>
      </w:pPr>
      <w:r>
        <w:rPr>
          <w:bCs/>
          <w:color w:val="000000"/>
        </w:rPr>
        <w:t xml:space="preserve">Isolated </w:t>
      </w:r>
      <w:r w:rsidRPr="003D6912">
        <w:rPr>
          <w:bCs/>
          <w:i/>
          <w:color w:val="000000"/>
        </w:rPr>
        <w:t>intestinal transplantation is indicated</w:t>
      </w:r>
      <w:r>
        <w:rPr>
          <w:bCs/>
          <w:color w:val="000000"/>
        </w:rPr>
        <w:t xml:space="preserve"> for members who have only isolated intestinal failure and no liver disease.  </w:t>
      </w:r>
    </w:p>
    <w:p w14:paraId="2D8EED12" w14:textId="77777777" w:rsidR="00E60B32" w:rsidRPr="003D6912" w:rsidRDefault="00E60B32" w:rsidP="002B6B02">
      <w:pPr>
        <w:numPr>
          <w:ilvl w:val="0"/>
          <w:numId w:val="28"/>
        </w:numPr>
        <w:rPr>
          <w:b/>
          <w:bCs/>
        </w:rPr>
      </w:pPr>
      <w:r>
        <w:rPr>
          <w:bCs/>
          <w:color w:val="000000"/>
        </w:rPr>
        <w:t xml:space="preserve">Combined </w:t>
      </w:r>
      <w:r w:rsidRPr="003D6912">
        <w:rPr>
          <w:bCs/>
          <w:i/>
          <w:color w:val="000000"/>
        </w:rPr>
        <w:t>intestinal and liver transplant is indicated</w:t>
      </w:r>
      <w:r>
        <w:rPr>
          <w:bCs/>
          <w:color w:val="000000"/>
        </w:rPr>
        <w:t xml:space="preserve"> in those with intestinal failure and </w:t>
      </w:r>
      <w:proofErr w:type="gramStart"/>
      <w:r>
        <w:rPr>
          <w:bCs/>
          <w:color w:val="000000"/>
        </w:rPr>
        <w:t>end</w:t>
      </w:r>
      <w:proofErr w:type="gramEnd"/>
      <w:r>
        <w:rPr>
          <w:bCs/>
          <w:color w:val="000000"/>
        </w:rPr>
        <w:t xml:space="preserve"> stage liver disease.  </w:t>
      </w:r>
    </w:p>
    <w:p w14:paraId="5F2998B7" w14:textId="77777777" w:rsidR="00E60B32" w:rsidRPr="00933092" w:rsidRDefault="00E60B32" w:rsidP="002B6B02">
      <w:pPr>
        <w:numPr>
          <w:ilvl w:val="0"/>
          <w:numId w:val="28"/>
        </w:numPr>
        <w:rPr>
          <w:b/>
          <w:bCs/>
        </w:rPr>
      </w:pPr>
      <w:proofErr w:type="spellStart"/>
      <w:r w:rsidRPr="003D6912">
        <w:rPr>
          <w:bCs/>
          <w:i/>
          <w:color w:val="000000"/>
        </w:rPr>
        <w:t>Multivisceral</w:t>
      </w:r>
      <w:proofErr w:type="spellEnd"/>
      <w:r w:rsidRPr="003D6912">
        <w:rPr>
          <w:bCs/>
          <w:i/>
          <w:color w:val="000000"/>
        </w:rPr>
        <w:t xml:space="preserve"> transplant is indicated</w:t>
      </w:r>
      <w:r>
        <w:rPr>
          <w:bCs/>
          <w:color w:val="000000"/>
        </w:rPr>
        <w:t xml:space="preserve"> in those with intestinal failure and the presence of neuropathy or extensive mesenteric thrombosis.  </w:t>
      </w:r>
    </w:p>
    <w:p w14:paraId="59D481C4" w14:textId="77777777" w:rsidR="00E60B32" w:rsidRDefault="00E60B32" w:rsidP="00933092">
      <w:pPr>
        <w:rPr>
          <w:b/>
          <w:bCs/>
        </w:rPr>
      </w:pPr>
    </w:p>
    <w:p w14:paraId="48831B83" w14:textId="77777777" w:rsidR="00E60B32" w:rsidRDefault="00E60B32" w:rsidP="00066226">
      <w:pPr>
        <w:pStyle w:val="ListParagraph"/>
        <w:numPr>
          <w:ilvl w:val="0"/>
          <w:numId w:val="39"/>
        </w:numPr>
        <w:ind w:left="360"/>
        <w:rPr>
          <w:bCs/>
          <w:color w:val="000000"/>
        </w:rPr>
      </w:pPr>
      <w:r w:rsidRPr="00066226">
        <w:rPr>
          <w:b/>
          <w:bCs/>
          <w:color w:val="000000"/>
        </w:rPr>
        <w:t>Procedure Criteria:</w:t>
      </w:r>
      <w:r>
        <w:rPr>
          <w:bCs/>
          <w:color w:val="000000"/>
        </w:rPr>
        <w:t xml:space="preserve"> Members must have one of the indications in </w:t>
      </w:r>
      <w:r w:rsidRPr="00066226">
        <w:rPr>
          <w:b/>
          <w:bCs/>
          <w:color w:val="000000"/>
        </w:rPr>
        <w:t>A</w:t>
      </w:r>
      <w:r>
        <w:rPr>
          <w:bCs/>
          <w:color w:val="000000"/>
        </w:rPr>
        <w:t xml:space="preserve"> and none of the contraindications in </w:t>
      </w:r>
      <w:r w:rsidRPr="00066226">
        <w:rPr>
          <w:b/>
          <w:bCs/>
          <w:color w:val="000000"/>
        </w:rPr>
        <w:t>B</w:t>
      </w:r>
      <w:r>
        <w:rPr>
          <w:bCs/>
          <w:color w:val="000000"/>
        </w:rPr>
        <w:t>:</w:t>
      </w:r>
    </w:p>
    <w:p w14:paraId="68C34C3A" w14:textId="51300349" w:rsidR="00E60B32" w:rsidRPr="00A9258C" w:rsidRDefault="00E60B32" w:rsidP="00972651">
      <w:pPr>
        <w:pStyle w:val="ListParagraph"/>
        <w:numPr>
          <w:ilvl w:val="0"/>
          <w:numId w:val="32"/>
        </w:numPr>
        <w:ind w:left="720"/>
        <w:rPr>
          <w:b/>
          <w:bCs/>
          <w:color w:val="000000"/>
        </w:rPr>
      </w:pPr>
      <w:r w:rsidRPr="00A9258C">
        <w:rPr>
          <w:bCs/>
          <w:color w:val="000000"/>
        </w:rPr>
        <w:t>Indications, any one of the following</w:t>
      </w:r>
      <w:r w:rsidR="002815F0">
        <w:rPr>
          <w:bCs/>
          <w:color w:val="000000"/>
        </w:rPr>
        <w:t>:</w:t>
      </w:r>
    </w:p>
    <w:p w14:paraId="27502C88" w14:textId="17290C01" w:rsidR="00E60B32" w:rsidRPr="00A9258C" w:rsidRDefault="00E60B32" w:rsidP="00972651">
      <w:pPr>
        <w:pStyle w:val="ListParagraph"/>
        <w:numPr>
          <w:ilvl w:val="0"/>
          <w:numId w:val="37"/>
        </w:numPr>
        <w:ind w:left="1080"/>
        <w:rPr>
          <w:b/>
          <w:bCs/>
          <w:color w:val="000000"/>
        </w:rPr>
      </w:pPr>
      <w:r w:rsidRPr="00A9258C">
        <w:rPr>
          <w:bCs/>
          <w:color w:val="000000"/>
        </w:rPr>
        <w:t>Failure of total parenteral nutrition</w:t>
      </w:r>
      <w:r w:rsidR="0084553A">
        <w:rPr>
          <w:bCs/>
          <w:color w:val="000000"/>
        </w:rPr>
        <w:t xml:space="preserve"> (TPN)</w:t>
      </w:r>
      <w:r w:rsidRPr="00A9258C">
        <w:rPr>
          <w:bCs/>
          <w:color w:val="000000"/>
        </w:rPr>
        <w:t xml:space="preserve"> as indicated by one of the following</w:t>
      </w:r>
      <w:r w:rsidR="007A08FE">
        <w:rPr>
          <w:bCs/>
          <w:color w:val="000000"/>
        </w:rPr>
        <w:t>:</w:t>
      </w:r>
    </w:p>
    <w:p w14:paraId="49C9209E" w14:textId="14145A91" w:rsidR="00E60B32" w:rsidRPr="005C69AB" w:rsidRDefault="00E60B32">
      <w:pPr>
        <w:pStyle w:val="ListParagraph"/>
        <w:numPr>
          <w:ilvl w:val="2"/>
          <w:numId w:val="32"/>
        </w:numPr>
        <w:ind w:left="1440" w:hanging="360"/>
        <w:rPr>
          <w:b/>
          <w:bCs/>
          <w:color w:val="000000"/>
        </w:rPr>
      </w:pPr>
      <w:r w:rsidRPr="00A9258C">
        <w:rPr>
          <w:bCs/>
          <w:color w:val="000000"/>
        </w:rPr>
        <w:t xml:space="preserve">Impending or overt liver failure due to TPN, indicated </w:t>
      </w:r>
      <w:r w:rsidRPr="005C69AB">
        <w:rPr>
          <w:bCs/>
          <w:color w:val="000000"/>
        </w:rPr>
        <w:t xml:space="preserve">by elevated serum bilirubin and/or liver enzymes, splenomegaly, thrombocytopenia, gastro-esophageal varices, coagulopathy, </w:t>
      </w:r>
      <w:proofErr w:type="spellStart"/>
      <w:r w:rsidR="00BA077A">
        <w:rPr>
          <w:bCs/>
          <w:color w:val="000000"/>
        </w:rPr>
        <w:t>peri</w:t>
      </w:r>
      <w:r w:rsidRPr="005C69AB">
        <w:rPr>
          <w:bCs/>
          <w:color w:val="000000"/>
        </w:rPr>
        <w:t>stomal</w:t>
      </w:r>
      <w:proofErr w:type="spellEnd"/>
      <w:r w:rsidRPr="005C69AB">
        <w:rPr>
          <w:bCs/>
          <w:color w:val="000000"/>
        </w:rPr>
        <w:t xml:space="preserve"> bleeding, or hepatic fibrosis/cirrhosis</w:t>
      </w:r>
      <w:r w:rsidR="007A08FE" w:rsidRPr="005C69AB">
        <w:rPr>
          <w:bCs/>
          <w:color w:val="000000"/>
        </w:rPr>
        <w:t>;</w:t>
      </w:r>
    </w:p>
    <w:p w14:paraId="43F5249D" w14:textId="51FCF7C1" w:rsidR="00E60B32" w:rsidRPr="00A9258C" w:rsidRDefault="00E60B32" w:rsidP="00972651">
      <w:pPr>
        <w:pStyle w:val="ListParagraph"/>
        <w:numPr>
          <w:ilvl w:val="2"/>
          <w:numId w:val="32"/>
        </w:numPr>
        <w:ind w:left="1440" w:hanging="360"/>
        <w:rPr>
          <w:bCs/>
          <w:color w:val="000000"/>
        </w:rPr>
      </w:pPr>
      <w:r w:rsidRPr="00A9258C">
        <w:rPr>
          <w:bCs/>
          <w:color w:val="000000"/>
        </w:rPr>
        <w:t>Thrombosis of ≥ 2 central veins, including jugular</w:t>
      </w:r>
      <w:r w:rsidR="007A08FE">
        <w:rPr>
          <w:bCs/>
          <w:color w:val="000000"/>
        </w:rPr>
        <w:t>, subclavian, and femoral veins;</w:t>
      </w:r>
    </w:p>
    <w:p w14:paraId="2E8A855C" w14:textId="084865F2" w:rsidR="00E60B32" w:rsidRPr="00A9258C" w:rsidRDefault="00E60B32" w:rsidP="00972651">
      <w:pPr>
        <w:pStyle w:val="ListParagraph"/>
        <w:numPr>
          <w:ilvl w:val="2"/>
          <w:numId w:val="32"/>
        </w:numPr>
        <w:ind w:left="1440" w:hanging="360"/>
        <w:rPr>
          <w:bCs/>
          <w:color w:val="000000"/>
        </w:rPr>
      </w:pPr>
      <w:r w:rsidRPr="00A9258C">
        <w:rPr>
          <w:bCs/>
          <w:color w:val="000000"/>
        </w:rPr>
        <w:t>Two or more episodes of systemic sepsis due to line infection</w:t>
      </w:r>
      <w:r w:rsidR="005E607E">
        <w:rPr>
          <w:bCs/>
          <w:color w:val="000000"/>
        </w:rPr>
        <w:t>,</w:t>
      </w:r>
      <w:r w:rsidRPr="00A9258C">
        <w:rPr>
          <w:bCs/>
          <w:color w:val="000000"/>
        </w:rPr>
        <w:t xml:space="preserve"> per year</w:t>
      </w:r>
      <w:r w:rsidR="005E607E">
        <w:rPr>
          <w:bCs/>
          <w:color w:val="000000"/>
        </w:rPr>
        <w:t>,</w:t>
      </w:r>
      <w:r w:rsidRPr="00A9258C">
        <w:rPr>
          <w:bCs/>
          <w:color w:val="000000"/>
        </w:rPr>
        <w:t xml:space="preserve"> or one episode of septic shock, acute respiratory distress syndrom</w:t>
      </w:r>
      <w:r w:rsidR="007A08FE">
        <w:rPr>
          <w:bCs/>
          <w:color w:val="000000"/>
        </w:rPr>
        <w:t xml:space="preserve">e, and/or line related </w:t>
      </w:r>
      <w:proofErr w:type="spellStart"/>
      <w:r w:rsidR="007A08FE">
        <w:rPr>
          <w:bCs/>
          <w:color w:val="000000"/>
        </w:rPr>
        <w:t>fungemia</w:t>
      </w:r>
      <w:proofErr w:type="spellEnd"/>
      <w:r w:rsidR="007A08FE">
        <w:rPr>
          <w:bCs/>
          <w:color w:val="000000"/>
        </w:rPr>
        <w:t>;</w:t>
      </w:r>
    </w:p>
    <w:p w14:paraId="132AEA99" w14:textId="5AFC723F" w:rsidR="00E60B32" w:rsidRPr="00A9258C" w:rsidRDefault="00E60B32" w:rsidP="00972651">
      <w:pPr>
        <w:pStyle w:val="ListParagraph"/>
        <w:numPr>
          <w:ilvl w:val="2"/>
          <w:numId w:val="32"/>
        </w:numPr>
        <w:ind w:left="1440" w:hanging="360"/>
        <w:rPr>
          <w:bCs/>
          <w:color w:val="000000"/>
        </w:rPr>
      </w:pPr>
      <w:r w:rsidRPr="00A9258C">
        <w:rPr>
          <w:bCs/>
          <w:color w:val="000000"/>
        </w:rPr>
        <w:t>Frequent episodes of dehydration d</w:t>
      </w:r>
      <w:r w:rsidR="007A08FE">
        <w:rPr>
          <w:bCs/>
          <w:color w:val="000000"/>
        </w:rPr>
        <w:t>espite IV fluid supplementation;</w:t>
      </w:r>
    </w:p>
    <w:p w14:paraId="7076B0B1" w14:textId="77777777" w:rsidR="00E60B32" w:rsidRPr="008231C5" w:rsidRDefault="00E60B32" w:rsidP="00972651">
      <w:pPr>
        <w:pStyle w:val="ListParagraph"/>
        <w:numPr>
          <w:ilvl w:val="2"/>
          <w:numId w:val="32"/>
        </w:numPr>
        <w:ind w:left="1440" w:hanging="360"/>
        <w:rPr>
          <w:bCs/>
          <w:color w:val="000000"/>
        </w:rPr>
      </w:pPr>
      <w:r w:rsidRPr="008231C5">
        <w:rPr>
          <w:bCs/>
          <w:color w:val="000000"/>
        </w:rPr>
        <w:t>Other complications leading to loss of vascular access;</w:t>
      </w:r>
    </w:p>
    <w:p w14:paraId="14657096" w14:textId="77777777" w:rsidR="00E60B32" w:rsidRPr="008231C5" w:rsidRDefault="00E60B32" w:rsidP="00972651">
      <w:pPr>
        <w:pStyle w:val="ListParagraph"/>
        <w:numPr>
          <w:ilvl w:val="0"/>
          <w:numId w:val="37"/>
        </w:numPr>
        <w:ind w:left="1080"/>
        <w:rPr>
          <w:bCs/>
          <w:color w:val="000000"/>
        </w:rPr>
      </w:pPr>
      <w:r w:rsidRPr="008231C5">
        <w:rPr>
          <w:bCs/>
          <w:color w:val="000000"/>
        </w:rPr>
        <w:t xml:space="preserve">High risk of death if transplant is not performed; </w:t>
      </w:r>
    </w:p>
    <w:p w14:paraId="129CEEC1" w14:textId="53195407" w:rsidR="00E60B32" w:rsidRPr="007E6295" w:rsidRDefault="00E60B32" w:rsidP="00972651">
      <w:pPr>
        <w:pStyle w:val="ListParagraph"/>
        <w:numPr>
          <w:ilvl w:val="0"/>
          <w:numId w:val="37"/>
        </w:numPr>
        <w:ind w:left="1080"/>
        <w:rPr>
          <w:bCs/>
          <w:color w:val="000000"/>
        </w:rPr>
      </w:pPr>
      <w:r w:rsidRPr="007E6295">
        <w:rPr>
          <w:bCs/>
          <w:color w:val="000000"/>
        </w:rPr>
        <w:t>Severe short bowel syndrome (gastro</w:t>
      </w:r>
      <w:r w:rsidR="00460B8E">
        <w:rPr>
          <w:bCs/>
          <w:color w:val="000000"/>
        </w:rPr>
        <w:t>stom</w:t>
      </w:r>
      <w:r w:rsidRPr="007E6295">
        <w:rPr>
          <w:bCs/>
          <w:color w:val="000000"/>
        </w:rPr>
        <w:t xml:space="preserve">y, </w:t>
      </w:r>
      <w:proofErr w:type="spellStart"/>
      <w:r w:rsidRPr="007E6295">
        <w:rPr>
          <w:bCs/>
          <w:color w:val="000000"/>
        </w:rPr>
        <w:t>duodenostomy</w:t>
      </w:r>
      <w:proofErr w:type="spellEnd"/>
      <w:r w:rsidRPr="007E6295">
        <w:rPr>
          <w:bCs/>
          <w:color w:val="000000"/>
        </w:rPr>
        <w:t>,</w:t>
      </w:r>
      <w:r w:rsidR="00B87182">
        <w:rPr>
          <w:bCs/>
          <w:color w:val="000000"/>
        </w:rPr>
        <w:t xml:space="preserve"> and/or</w:t>
      </w:r>
      <w:r w:rsidRPr="007E6295">
        <w:rPr>
          <w:bCs/>
          <w:color w:val="000000"/>
        </w:rPr>
        <w:t xml:space="preserve"> residual small bowel &lt;10 cm in infants and &lt;20 cm in adults);</w:t>
      </w:r>
    </w:p>
    <w:p w14:paraId="298027CC" w14:textId="009F8707" w:rsidR="00E60B32" w:rsidRPr="00A9258C" w:rsidRDefault="00E60B32" w:rsidP="00972651">
      <w:pPr>
        <w:pStyle w:val="ListParagraph"/>
        <w:numPr>
          <w:ilvl w:val="0"/>
          <w:numId w:val="37"/>
        </w:numPr>
        <w:ind w:left="1080"/>
        <w:rPr>
          <w:bCs/>
          <w:color w:val="000080"/>
        </w:rPr>
      </w:pPr>
      <w:r w:rsidRPr="00A9258C">
        <w:rPr>
          <w:bCs/>
          <w:color w:val="000000"/>
        </w:rPr>
        <w:t>Frequent hospitalizations</w:t>
      </w:r>
      <w:r w:rsidR="00CE3E82">
        <w:rPr>
          <w:bCs/>
          <w:color w:val="000000"/>
        </w:rPr>
        <w:t xml:space="preserve"> for complications directly related to intestinal failure</w:t>
      </w:r>
      <w:r w:rsidRPr="00A9258C">
        <w:rPr>
          <w:bCs/>
          <w:color w:val="000080"/>
        </w:rPr>
        <w:t>;</w:t>
      </w:r>
    </w:p>
    <w:p w14:paraId="5BD98C8F" w14:textId="7A2B3B26" w:rsidR="00A4552A" w:rsidRPr="00CE3E82" w:rsidRDefault="00E60B32" w:rsidP="00972651">
      <w:pPr>
        <w:pStyle w:val="ListParagraph"/>
        <w:numPr>
          <w:ilvl w:val="0"/>
          <w:numId w:val="37"/>
        </w:numPr>
        <w:ind w:left="1080"/>
        <w:rPr>
          <w:bCs/>
        </w:rPr>
      </w:pPr>
      <w:r w:rsidRPr="00A9258C">
        <w:rPr>
          <w:bCs/>
          <w:color w:val="000000"/>
        </w:rPr>
        <w:t>Significant hepatic cirrhosis</w:t>
      </w:r>
      <w:r w:rsidRPr="000B02E5">
        <w:rPr>
          <w:bCs/>
          <w:color w:val="FF0000"/>
        </w:rPr>
        <w:t xml:space="preserve"> </w:t>
      </w:r>
      <w:r w:rsidRPr="00CE3E82">
        <w:rPr>
          <w:bCs/>
        </w:rPr>
        <w:t>associated with dif</w:t>
      </w:r>
      <w:r w:rsidR="007A08FE">
        <w:rPr>
          <w:bCs/>
        </w:rPr>
        <w:t>fuse post-mesenteric thrombosis;</w:t>
      </w:r>
    </w:p>
    <w:p w14:paraId="36D57EDD" w14:textId="77777777" w:rsidR="00E60B32" w:rsidRPr="00CE3E82" w:rsidRDefault="00E60B32" w:rsidP="00972651">
      <w:pPr>
        <w:pStyle w:val="ListParagraph"/>
        <w:numPr>
          <w:ilvl w:val="0"/>
          <w:numId w:val="32"/>
        </w:numPr>
        <w:ind w:left="720"/>
        <w:rPr>
          <w:bCs/>
        </w:rPr>
      </w:pPr>
      <w:r w:rsidRPr="00CE3E82">
        <w:rPr>
          <w:bCs/>
        </w:rPr>
        <w:t>Does not have ANY of the following contraindications:</w:t>
      </w:r>
    </w:p>
    <w:p w14:paraId="22ADAB39" w14:textId="77777777" w:rsidR="00470DB2" w:rsidRPr="000C76DB" w:rsidRDefault="00470DB2" w:rsidP="00470DB2">
      <w:pPr>
        <w:pStyle w:val="ListParagraph"/>
        <w:numPr>
          <w:ilvl w:val="1"/>
          <w:numId w:val="32"/>
        </w:numPr>
        <w:ind w:left="1080"/>
        <w:rPr>
          <w:bCs/>
        </w:rPr>
      </w:pPr>
      <w:r w:rsidRPr="000C76DB">
        <w:rPr>
          <w:bCs/>
        </w:rPr>
        <w:t>Malignancy in the past two years, except for non-melanoma localized skin cancer that has been treated appropriately;</w:t>
      </w:r>
    </w:p>
    <w:p w14:paraId="7B8E759B" w14:textId="77777777" w:rsidR="00470DB2" w:rsidRPr="00206CC9" w:rsidRDefault="00470DB2" w:rsidP="00470DB2">
      <w:pPr>
        <w:pStyle w:val="ListParagraph"/>
        <w:numPr>
          <w:ilvl w:val="1"/>
          <w:numId w:val="32"/>
        </w:numPr>
        <w:ind w:left="1080"/>
        <w:rPr>
          <w:bCs/>
        </w:rPr>
      </w:pPr>
      <w:r w:rsidRPr="00206CC9">
        <w:rPr>
          <w:bCs/>
        </w:rPr>
        <w:t xml:space="preserve">Untreatable </w:t>
      </w:r>
      <w:r>
        <w:rPr>
          <w:bCs/>
        </w:rPr>
        <w:t xml:space="preserve">significant </w:t>
      </w:r>
      <w:r w:rsidRPr="00206CC9">
        <w:rPr>
          <w:bCs/>
        </w:rPr>
        <w:t xml:space="preserve">dysfunction of another major organ system, </w:t>
      </w:r>
      <w:r>
        <w:rPr>
          <w:bCs/>
        </w:rPr>
        <w:t>unless combined organ transplantation can be performed;</w:t>
      </w:r>
    </w:p>
    <w:p w14:paraId="2342BB97" w14:textId="77777777" w:rsidR="00470DB2" w:rsidRDefault="00470DB2" w:rsidP="00470DB2">
      <w:pPr>
        <w:pStyle w:val="ListParagraph"/>
        <w:numPr>
          <w:ilvl w:val="1"/>
          <w:numId w:val="32"/>
        </w:numPr>
        <w:ind w:left="1080"/>
        <w:rPr>
          <w:bCs/>
        </w:rPr>
      </w:pPr>
      <w:r w:rsidRPr="00206CC9">
        <w:rPr>
          <w:bCs/>
        </w:rPr>
        <w:lastRenderedPageBreak/>
        <w:t>Presence of other GI diseases;</w:t>
      </w:r>
    </w:p>
    <w:p w14:paraId="52234222" w14:textId="77777777" w:rsidR="00470DB2" w:rsidRDefault="00470DB2" w:rsidP="00470DB2">
      <w:pPr>
        <w:numPr>
          <w:ilvl w:val="1"/>
          <w:numId w:val="32"/>
        </w:numPr>
        <w:ind w:left="1080"/>
        <w:rPr>
          <w:bCs/>
          <w:color w:val="000000"/>
        </w:rPr>
      </w:pPr>
      <w:r>
        <w:rPr>
          <w:bCs/>
          <w:color w:val="000000"/>
        </w:rPr>
        <w:t>Acute medical instability, including, but not limited to, acute sepsis or myocardial infarction;</w:t>
      </w:r>
    </w:p>
    <w:p w14:paraId="2DACE79F" w14:textId="77777777" w:rsidR="00470DB2" w:rsidRDefault="00470DB2" w:rsidP="00470DB2">
      <w:pPr>
        <w:numPr>
          <w:ilvl w:val="1"/>
          <w:numId w:val="32"/>
        </w:numPr>
        <w:ind w:left="1080"/>
        <w:rPr>
          <w:bCs/>
          <w:color w:val="000000"/>
        </w:rPr>
      </w:pPr>
      <w:r>
        <w:rPr>
          <w:bCs/>
          <w:color w:val="000000"/>
        </w:rPr>
        <w:t>Uncorrectable bleeding diathesis;</w:t>
      </w:r>
    </w:p>
    <w:p w14:paraId="5D3E8D5C" w14:textId="77777777" w:rsidR="00470DB2" w:rsidRPr="00C17C6D" w:rsidRDefault="00470DB2" w:rsidP="00470DB2">
      <w:pPr>
        <w:numPr>
          <w:ilvl w:val="1"/>
          <w:numId w:val="32"/>
        </w:numPr>
        <w:ind w:left="1080"/>
        <w:rPr>
          <w:bCs/>
          <w:color w:val="000000"/>
        </w:rPr>
      </w:pPr>
      <w:r>
        <w:rPr>
          <w:bCs/>
          <w:color w:val="000000"/>
        </w:rPr>
        <w:t>Chronic infection with highly virulent and/or resistant microbes that are poorly controlled pre-transplant;</w:t>
      </w:r>
    </w:p>
    <w:p w14:paraId="43C1F104" w14:textId="77777777" w:rsidR="00470DB2" w:rsidRDefault="00470DB2" w:rsidP="00470DB2">
      <w:pPr>
        <w:numPr>
          <w:ilvl w:val="1"/>
          <w:numId w:val="32"/>
        </w:numPr>
        <w:ind w:left="1080"/>
        <w:rPr>
          <w:bCs/>
          <w:color w:val="000000"/>
        </w:rPr>
      </w:pPr>
      <w:r>
        <w:rPr>
          <w:bCs/>
          <w:color w:val="000000"/>
        </w:rPr>
        <w:t>Current non-adherence to medical therapy or a history of repeated or prolonged episodes of non-adherence to medical therapy that are perceived to increase the risk of non-adherence after transplantation;</w:t>
      </w:r>
    </w:p>
    <w:p w14:paraId="02480431" w14:textId="77777777" w:rsidR="00470DB2" w:rsidRDefault="00470DB2" w:rsidP="00470DB2">
      <w:pPr>
        <w:numPr>
          <w:ilvl w:val="1"/>
          <w:numId w:val="32"/>
        </w:numPr>
        <w:ind w:left="1080"/>
        <w:rPr>
          <w:bCs/>
          <w:color w:val="000000"/>
        </w:rPr>
      </w:pPr>
      <w:r>
        <w:rPr>
          <w:bCs/>
          <w:color w:val="000000"/>
        </w:rPr>
        <w:t xml:space="preserve">Psychiatric or psychological condition associated with the inability to cooperate or comply with medical therapy; </w:t>
      </w:r>
    </w:p>
    <w:p w14:paraId="1FD58832" w14:textId="77777777" w:rsidR="00470DB2" w:rsidRDefault="00470DB2" w:rsidP="00470DB2">
      <w:pPr>
        <w:numPr>
          <w:ilvl w:val="1"/>
          <w:numId w:val="32"/>
        </w:numPr>
        <w:ind w:left="1080"/>
        <w:rPr>
          <w:bCs/>
          <w:color w:val="000000"/>
        </w:rPr>
      </w:pPr>
      <w:r>
        <w:rPr>
          <w:bCs/>
          <w:color w:val="000000"/>
        </w:rPr>
        <w:t xml:space="preserve">Absence of an adequate or reliable social support system; </w:t>
      </w:r>
    </w:p>
    <w:p w14:paraId="5DD6A913" w14:textId="77777777" w:rsidR="00470DB2" w:rsidRDefault="00470DB2" w:rsidP="00470DB2">
      <w:pPr>
        <w:numPr>
          <w:ilvl w:val="1"/>
          <w:numId w:val="32"/>
        </w:numPr>
        <w:ind w:left="1080"/>
        <w:rPr>
          <w:bCs/>
          <w:color w:val="000000"/>
        </w:rPr>
      </w:pPr>
      <w:r>
        <w:rPr>
          <w:bCs/>
          <w:color w:val="000000"/>
        </w:rPr>
        <w:t>Severely limited functional status with poor rehabilitation potential;</w:t>
      </w:r>
    </w:p>
    <w:p w14:paraId="076AFBC8" w14:textId="212355AF" w:rsidR="00470DB2" w:rsidRPr="00852F36" w:rsidRDefault="00470DB2" w:rsidP="00400E8E">
      <w:pPr>
        <w:pStyle w:val="ListParagraph"/>
        <w:numPr>
          <w:ilvl w:val="1"/>
          <w:numId w:val="32"/>
        </w:numPr>
        <w:ind w:left="1080"/>
        <w:rPr>
          <w:bCs/>
        </w:rPr>
      </w:pPr>
      <w:r>
        <w:rPr>
          <w:bCs/>
          <w:color w:val="000000"/>
        </w:rPr>
        <w:t>S</w:t>
      </w:r>
      <w:r w:rsidRPr="00E77A84">
        <w:rPr>
          <w:bCs/>
          <w:color w:val="000000"/>
        </w:rPr>
        <w:t>ubstance abuse</w:t>
      </w:r>
      <w:r>
        <w:rPr>
          <w:bCs/>
          <w:color w:val="000000"/>
        </w:rPr>
        <w:t xml:space="preserve"> or dependence (including tobacco and alcohol)</w:t>
      </w:r>
      <w:r w:rsidRPr="00E77A84">
        <w:rPr>
          <w:bCs/>
          <w:color w:val="000000"/>
        </w:rPr>
        <w:t xml:space="preserve"> </w:t>
      </w:r>
      <w:r>
        <w:rPr>
          <w:bCs/>
          <w:color w:val="000000"/>
        </w:rPr>
        <w:t>without convincing evidence of risk reduction behaviors, such as meaningful and/or long-term participation in therapy for substance abuse and/or dependence. Serial blood and urine testing may be used to verify abstinence from substances of concern.</w:t>
      </w:r>
    </w:p>
    <w:p w14:paraId="2C051BAC" w14:textId="77777777" w:rsidR="00E60B32" w:rsidRPr="00CE3E82" w:rsidRDefault="00E60B32" w:rsidP="003840CC">
      <w:pPr>
        <w:rPr>
          <w:bCs/>
        </w:rPr>
      </w:pPr>
    </w:p>
    <w:p w14:paraId="5B036761" w14:textId="77777777" w:rsidR="00E60B32" w:rsidRDefault="00E60B32" w:rsidP="00FB0592">
      <w:pPr>
        <w:pStyle w:val="Heading2"/>
        <w:rPr>
          <w:u w:val="none"/>
        </w:rPr>
      </w:pPr>
      <w:r w:rsidRPr="00B777AF">
        <w:rPr>
          <w:u w:val="none"/>
        </w:rPr>
        <w:t>Background</w:t>
      </w:r>
    </w:p>
    <w:p w14:paraId="2CA1E289" w14:textId="77777777" w:rsidR="00E60B32" w:rsidRDefault="00E60B32" w:rsidP="00022E10">
      <w:pPr>
        <w:pStyle w:val="Heading2"/>
        <w:rPr>
          <w:b w:val="0"/>
          <w:u w:val="none"/>
        </w:rPr>
      </w:pPr>
      <w:r>
        <w:rPr>
          <w:b w:val="0"/>
          <w:u w:val="none"/>
        </w:rPr>
        <w:t xml:space="preserve">Intestinal transplantation is a therapeutic option for patients with intestinal failure.  Intestinal failure is the loss of absorptive capacity of the small bowel secondary to severe primary gastrointestinal disease or surgically induced short bowel syndrome (SBS).  The normal small intestine length varies widely, ranging from 3 to 8 meters.  SBS occurs when there is approximately &lt; 200 cm of small bowel remaining.  </w:t>
      </w:r>
    </w:p>
    <w:p w14:paraId="597C63A1" w14:textId="77777777" w:rsidR="00E60B32" w:rsidRPr="00D35F29" w:rsidRDefault="00E60B32" w:rsidP="00022E10"/>
    <w:p w14:paraId="14070ABB" w14:textId="4947819A" w:rsidR="00E60B32" w:rsidRDefault="00E60B32" w:rsidP="00022E10">
      <w:pPr>
        <w:pStyle w:val="Heading2"/>
        <w:rPr>
          <w:b w:val="0"/>
          <w:u w:val="none"/>
        </w:rPr>
      </w:pPr>
      <w:r>
        <w:rPr>
          <w:b w:val="0"/>
          <w:u w:val="none"/>
        </w:rPr>
        <w:t>Multi-visceral transplantation includes the stomach, duodenum, pancreas, liver, and small intestine.  A modified version excludes the liver if the recipient</w:t>
      </w:r>
      <w:r w:rsidR="00DE481C">
        <w:rPr>
          <w:b w:val="0"/>
          <w:u w:val="none"/>
        </w:rPr>
        <w:t>’s</w:t>
      </w:r>
      <w:r>
        <w:rPr>
          <w:b w:val="0"/>
          <w:u w:val="none"/>
        </w:rPr>
        <w:t xml:space="preserve"> liver is normal.  A kidney</w:t>
      </w:r>
      <w:r w:rsidR="005E607E">
        <w:rPr>
          <w:b w:val="0"/>
          <w:u w:val="none"/>
        </w:rPr>
        <w:t xml:space="preserve"> transplant</w:t>
      </w:r>
      <w:r>
        <w:rPr>
          <w:b w:val="0"/>
          <w:u w:val="none"/>
        </w:rPr>
        <w:t xml:space="preserve"> is occasionally included if the recipient has end-stage renal disease.</w:t>
      </w:r>
      <w:r w:rsidR="00D0511B" w:rsidRPr="00282EED">
        <w:rPr>
          <w:b w:val="0"/>
          <w:u w:val="none"/>
          <w:vertAlign w:val="superscript"/>
        </w:rPr>
        <w:t>5</w:t>
      </w:r>
      <w:r>
        <w:rPr>
          <w:b w:val="0"/>
          <w:u w:val="none"/>
        </w:rPr>
        <w:t xml:space="preserve">    </w:t>
      </w:r>
    </w:p>
    <w:p w14:paraId="6D336958" w14:textId="77777777" w:rsidR="00E60B32" w:rsidRDefault="00E60B32" w:rsidP="00022E10"/>
    <w:p w14:paraId="685D44C2" w14:textId="77777777" w:rsidR="00E60B32" w:rsidRDefault="00E60B32" w:rsidP="00022E10">
      <w:r>
        <w:t>Common indications for intestinal transplantation in children include:</w:t>
      </w:r>
    </w:p>
    <w:p w14:paraId="5D23C6FA" w14:textId="77777777" w:rsidR="00E60B32" w:rsidRDefault="00E60B32" w:rsidP="00022E10">
      <w:pPr>
        <w:numPr>
          <w:ilvl w:val="0"/>
          <w:numId w:val="35"/>
        </w:numPr>
        <w:sectPr w:rsidR="00E60B32" w:rsidSect="00066226">
          <w:headerReference w:type="default" r:id="rId15"/>
          <w:footerReference w:type="default" r:id="rId16"/>
          <w:type w:val="continuous"/>
          <w:pgSz w:w="12240" w:h="15840" w:code="1"/>
          <w:pgMar w:top="1530" w:right="1260" w:bottom="1440" w:left="1440" w:header="720" w:footer="288" w:gutter="0"/>
          <w:cols w:space="720"/>
          <w:docGrid w:linePitch="360"/>
        </w:sectPr>
      </w:pPr>
    </w:p>
    <w:p w14:paraId="4095525E" w14:textId="77777777" w:rsidR="00E60B32" w:rsidRDefault="00E60B32" w:rsidP="00022E10">
      <w:pPr>
        <w:numPr>
          <w:ilvl w:val="0"/>
          <w:numId w:val="35"/>
        </w:numPr>
        <w:ind w:left="360"/>
      </w:pPr>
      <w:r>
        <w:t>Small bowel atresia</w:t>
      </w:r>
    </w:p>
    <w:p w14:paraId="3B85A90E" w14:textId="77777777" w:rsidR="00E60B32" w:rsidRDefault="00E60B32" w:rsidP="00022E10">
      <w:pPr>
        <w:numPr>
          <w:ilvl w:val="0"/>
          <w:numId w:val="35"/>
        </w:numPr>
        <w:ind w:left="360"/>
      </w:pPr>
      <w:proofErr w:type="spellStart"/>
      <w:r>
        <w:t>Gastroschisis</w:t>
      </w:r>
      <w:proofErr w:type="spellEnd"/>
    </w:p>
    <w:p w14:paraId="11B34DD0" w14:textId="77777777" w:rsidR="00E60B32" w:rsidRDefault="00E60B32" w:rsidP="00022E10">
      <w:pPr>
        <w:numPr>
          <w:ilvl w:val="0"/>
          <w:numId w:val="35"/>
        </w:numPr>
        <w:ind w:left="360"/>
      </w:pPr>
      <w:proofErr w:type="spellStart"/>
      <w:r>
        <w:t>Aganglionosis</w:t>
      </w:r>
      <w:proofErr w:type="spellEnd"/>
      <w:r>
        <w:t xml:space="preserve"> (</w:t>
      </w:r>
      <w:proofErr w:type="spellStart"/>
      <w:r>
        <w:t>Hirschsprung’s</w:t>
      </w:r>
      <w:proofErr w:type="spellEnd"/>
      <w:r>
        <w:t xml:space="preserve"> disease)</w:t>
      </w:r>
    </w:p>
    <w:p w14:paraId="26BCE23B" w14:textId="77777777" w:rsidR="00E60B32" w:rsidRDefault="00E60B32" w:rsidP="00022E10">
      <w:pPr>
        <w:numPr>
          <w:ilvl w:val="0"/>
          <w:numId w:val="35"/>
        </w:numPr>
        <w:ind w:left="360"/>
      </w:pPr>
      <w:r>
        <w:t xml:space="preserve">Infections such as necrotizing </w:t>
      </w:r>
      <w:proofErr w:type="spellStart"/>
      <w:r>
        <w:t>enterocolitis</w:t>
      </w:r>
      <w:proofErr w:type="spellEnd"/>
      <w:r>
        <w:t xml:space="preserve"> and mesenteric ischemia</w:t>
      </w:r>
    </w:p>
    <w:p w14:paraId="373FB7B8" w14:textId="77777777" w:rsidR="00E60B32" w:rsidRDefault="00E60B32" w:rsidP="00022E10">
      <w:pPr>
        <w:numPr>
          <w:ilvl w:val="0"/>
          <w:numId w:val="35"/>
        </w:numPr>
        <w:ind w:left="360"/>
      </w:pPr>
      <w:r>
        <w:t>Intestinal pseudo-obstruction</w:t>
      </w:r>
    </w:p>
    <w:p w14:paraId="2277CFDC" w14:textId="77777777" w:rsidR="00E60B32" w:rsidRDefault="00E60B32" w:rsidP="00022E10">
      <w:pPr>
        <w:numPr>
          <w:ilvl w:val="0"/>
          <w:numId w:val="35"/>
        </w:numPr>
        <w:ind w:left="360"/>
      </w:pPr>
      <w:r>
        <w:t>Microvillus inclusion disease</w:t>
      </w:r>
    </w:p>
    <w:p w14:paraId="696DDF5F" w14:textId="77777777" w:rsidR="00E60B32" w:rsidRDefault="00E60B32" w:rsidP="00022E10">
      <w:pPr>
        <w:numPr>
          <w:ilvl w:val="0"/>
          <w:numId w:val="35"/>
        </w:numPr>
        <w:ind w:left="360"/>
      </w:pPr>
      <w:r>
        <w:t>Short gut syndrome</w:t>
      </w:r>
    </w:p>
    <w:p w14:paraId="371F1F0C" w14:textId="77777777" w:rsidR="00E60B32" w:rsidRDefault="00E60B32" w:rsidP="00022E10">
      <w:pPr>
        <w:numPr>
          <w:ilvl w:val="0"/>
          <w:numId w:val="35"/>
        </w:numPr>
        <w:ind w:left="360"/>
      </w:pPr>
      <w:r>
        <w:t>Trauma</w:t>
      </w:r>
    </w:p>
    <w:p w14:paraId="3FF6D98A" w14:textId="77777777" w:rsidR="00E60B32" w:rsidRPr="00CE3E82" w:rsidRDefault="00E60B32" w:rsidP="00022E10">
      <w:pPr>
        <w:numPr>
          <w:ilvl w:val="0"/>
          <w:numId w:val="35"/>
        </w:numPr>
        <w:ind w:left="360"/>
      </w:pPr>
      <w:r w:rsidRPr="00CE3E82">
        <w:t>Crohn’s disease</w:t>
      </w:r>
    </w:p>
    <w:p w14:paraId="7C04563A" w14:textId="77777777" w:rsidR="00E60B32" w:rsidRPr="00CE3E82" w:rsidRDefault="00E60B32" w:rsidP="00022E10">
      <w:pPr>
        <w:numPr>
          <w:ilvl w:val="0"/>
          <w:numId w:val="35"/>
        </w:numPr>
        <w:ind w:left="360"/>
      </w:pPr>
      <w:proofErr w:type="spellStart"/>
      <w:r w:rsidRPr="00CE3E82">
        <w:t>Midgut</w:t>
      </w:r>
      <w:proofErr w:type="spellEnd"/>
      <w:r w:rsidRPr="00CE3E82">
        <w:t xml:space="preserve"> volvulus </w:t>
      </w:r>
    </w:p>
    <w:p w14:paraId="4D6CD9C5" w14:textId="77777777" w:rsidR="00E60B32" w:rsidRPr="00CE3E82" w:rsidRDefault="00E60B32" w:rsidP="00022E10">
      <w:pPr>
        <w:numPr>
          <w:ilvl w:val="0"/>
          <w:numId w:val="35"/>
        </w:numPr>
        <w:ind w:left="360"/>
      </w:pPr>
      <w:r w:rsidRPr="00CE3E82">
        <w:t>Massive resection secondary to tumor</w:t>
      </w:r>
    </w:p>
    <w:p w14:paraId="63EB2737" w14:textId="77777777" w:rsidR="00E60B32" w:rsidRPr="00CE3E82" w:rsidRDefault="00E60B32" w:rsidP="00022E10">
      <w:pPr>
        <w:sectPr w:rsidR="00E60B32" w:rsidRPr="00CE3E82" w:rsidSect="00066226">
          <w:type w:val="continuous"/>
          <w:pgSz w:w="12240" w:h="15840" w:code="1"/>
          <w:pgMar w:top="1530" w:right="1260" w:bottom="1440" w:left="1440" w:header="720" w:footer="288" w:gutter="0"/>
          <w:cols w:num="2" w:space="180"/>
          <w:docGrid w:linePitch="360"/>
        </w:sectPr>
      </w:pPr>
    </w:p>
    <w:p w14:paraId="4F4C6237" w14:textId="77777777" w:rsidR="00E60B32" w:rsidRPr="00CE3E82" w:rsidRDefault="00E60B32" w:rsidP="00022E10"/>
    <w:p w14:paraId="4060ADC6" w14:textId="77777777" w:rsidR="00E60B32" w:rsidRPr="00CE3E82" w:rsidRDefault="00E60B32" w:rsidP="00022E10">
      <w:r w:rsidRPr="00CE3E82">
        <w:t>Common indications for intestinal transplantation in adults include:</w:t>
      </w:r>
    </w:p>
    <w:p w14:paraId="57F75DF2" w14:textId="77777777" w:rsidR="00E60B32" w:rsidRPr="00CE3E82" w:rsidRDefault="00E60B32" w:rsidP="00022E10">
      <w:pPr>
        <w:numPr>
          <w:ilvl w:val="0"/>
          <w:numId w:val="36"/>
        </w:numPr>
        <w:sectPr w:rsidR="00E60B32" w:rsidRPr="00CE3E82" w:rsidSect="00066226">
          <w:type w:val="continuous"/>
          <w:pgSz w:w="12240" w:h="15840" w:code="1"/>
          <w:pgMar w:top="1530" w:right="1260" w:bottom="1440" w:left="1440" w:header="720" w:footer="288" w:gutter="0"/>
          <w:cols w:space="720"/>
          <w:docGrid w:linePitch="360"/>
        </w:sectPr>
      </w:pPr>
    </w:p>
    <w:p w14:paraId="47DBDEA9" w14:textId="77777777" w:rsidR="00E60B32" w:rsidRPr="00CE3E82" w:rsidRDefault="00E60B32" w:rsidP="00022E10">
      <w:pPr>
        <w:numPr>
          <w:ilvl w:val="0"/>
          <w:numId w:val="36"/>
        </w:numPr>
        <w:ind w:left="360"/>
      </w:pPr>
      <w:r w:rsidRPr="00CE3E82">
        <w:t>Short gut syndrome</w:t>
      </w:r>
    </w:p>
    <w:p w14:paraId="58F9D9C0" w14:textId="77777777" w:rsidR="00E60B32" w:rsidRPr="00CE3E82" w:rsidRDefault="00E60B32" w:rsidP="00022E10">
      <w:pPr>
        <w:numPr>
          <w:ilvl w:val="0"/>
          <w:numId w:val="36"/>
        </w:numPr>
        <w:ind w:left="360"/>
      </w:pPr>
      <w:r w:rsidRPr="00CE3E82">
        <w:t>Mesenteric ischemia following thrombosis, embolism, volvulus, or trauma</w:t>
      </w:r>
    </w:p>
    <w:p w14:paraId="04238B39" w14:textId="77777777" w:rsidR="00E60B32" w:rsidRPr="00CE3E82" w:rsidRDefault="00E60B32" w:rsidP="00022E10">
      <w:pPr>
        <w:numPr>
          <w:ilvl w:val="0"/>
          <w:numId w:val="36"/>
        </w:numPr>
        <w:ind w:left="360"/>
      </w:pPr>
      <w:r w:rsidRPr="00CE3E82">
        <w:t>Crohn’s disease</w:t>
      </w:r>
    </w:p>
    <w:p w14:paraId="62A0AF78" w14:textId="77777777" w:rsidR="00E60B32" w:rsidRPr="00CE3E82" w:rsidRDefault="00E60B32" w:rsidP="00022E10">
      <w:pPr>
        <w:numPr>
          <w:ilvl w:val="0"/>
          <w:numId w:val="36"/>
        </w:numPr>
        <w:ind w:left="360"/>
      </w:pPr>
      <w:r w:rsidRPr="00CE3E82">
        <w:t>Small bowel tumors</w:t>
      </w:r>
    </w:p>
    <w:p w14:paraId="49787D6A" w14:textId="77777777" w:rsidR="00E60B32" w:rsidRPr="00CE3E82" w:rsidRDefault="00E60B32" w:rsidP="00022E10">
      <w:pPr>
        <w:numPr>
          <w:ilvl w:val="0"/>
          <w:numId w:val="36"/>
        </w:numPr>
        <w:ind w:left="360"/>
      </w:pPr>
      <w:r w:rsidRPr="00CE3E82">
        <w:t>Small bowel secretory disorders</w:t>
      </w:r>
    </w:p>
    <w:p w14:paraId="2E7017C9" w14:textId="77777777" w:rsidR="00E60B32" w:rsidRPr="00CE3E82" w:rsidRDefault="00E60B32" w:rsidP="00022E10">
      <w:pPr>
        <w:numPr>
          <w:ilvl w:val="0"/>
          <w:numId w:val="36"/>
        </w:numPr>
        <w:ind w:left="360"/>
      </w:pPr>
      <w:r w:rsidRPr="00CE3E82">
        <w:t xml:space="preserve">Tumors of mesenteric root and </w:t>
      </w:r>
      <w:proofErr w:type="spellStart"/>
      <w:r w:rsidRPr="00CE3E82">
        <w:t>retroperitoneum</w:t>
      </w:r>
      <w:proofErr w:type="spellEnd"/>
    </w:p>
    <w:p w14:paraId="1D4D506A" w14:textId="77777777" w:rsidR="00E60B32" w:rsidRPr="00CE3E82" w:rsidRDefault="00E60B32" w:rsidP="00022E10">
      <w:pPr>
        <w:numPr>
          <w:ilvl w:val="0"/>
          <w:numId w:val="36"/>
        </w:numPr>
        <w:ind w:left="360"/>
      </w:pPr>
      <w:r w:rsidRPr="00CE3E82">
        <w:t>Trauma</w:t>
      </w:r>
    </w:p>
    <w:p w14:paraId="3A12B68B" w14:textId="77777777" w:rsidR="00E60B32" w:rsidRPr="00CE3E82" w:rsidRDefault="00E60B32" w:rsidP="00022E10">
      <w:pPr>
        <w:numPr>
          <w:ilvl w:val="0"/>
          <w:numId w:val="36"/>
        </w:numPr>
        <w:ind w:left="360"/>
      </w:pPr>
      <w:r w:rsidRPr="00CE3E82">
        <w:t>Volvulus</w:t>
      </w:r>
    </w:p>
    <w:p w14:paraId="7AF1C9A2" w14:textId="77777777" w:rsidR="00E60B32" w:rsidRPr="00CE3E82" w:rsidRDefault="00E60B32" w:rsidP="00022E10">
      <w:pPr>
        <w:numPr>
          <w:ilvl w:val="0"/>
          <w:numId w:val="36"/>
        </w:numPr>
        <w:ind w:left="360"/>
      </w:pPr>
      <w:r w:rsidRPr="00CE3E82">
        <w:t>Pseudo-obstruction</w:t>
      </w:r>
    </w:p>
    <w:p w14:paraId="28D15592" w14:textId="77777777" w:rsidR="00E60B32" w:rsidRPr="00CE3E82" w:rsidRDefault="00E60B32" w:rsidP="00022E10">
      <w:pPr>
        <w:numPr>
          <w:ilvl w:val="0"/>
          <w:numId w:val="36"/>
        </w:numPr>
        <w:ind w:left="360"/>
      </w:pPr>
      <w:r w:rsidRPr="00CE3E82">
        <w:t>Radiation enteritis</w:t>
      </w:r>
    </w:p>
    <w:p w14:paraId="01CC967D" w14:textId="77777777" w:rsidR="00E60B32" w:rsidRPr="00CE3E82" w:rsidRDefault="00E60B32" w:rsidP="00022E10">
      <w:pPr>
        <w:sectPr w:rsidR="00E60B32" w:rsidRPr="00CE3E82" w:rsidSect="00066226">
          <w:type w:val="continuous"/>
          <w:pgSz w:w="12240" w:h="15840" w:code="1"/>
          <w:pgMar w:top="1530" w:right="1260" w:bottom="1440" w:left="1440" w:header="720" w:footer="288" w:gutter="0"/>
          <w:cols w:num="2" w:space="180"/>
          <w:docGrid w:linePitch="360"/>
        </w:sectPr>
      </w:pPr>
    </w:p>
    <w:p w14:paraId="20B5E1B9" w14:textId="77777777" w:rsidR="00E60B32" w:rsidRPr="00CE3E82" w:rsidRDefault="00E60B32">
      <w:pPr>
        <w:rPr>
          <w:b/>
          <w:bCs/>
        </w:rPr>
      </w:pPr>
    </w:p>
    <w:p w14:paraId="15ECFE32" w14:textId="77777777" w:rsidR="00E60B32" w:rsidRPr="00CE3E82" w:rsidRDefault="00E60B32" w:rsidP="005E1863">
      <w:pPr>
        <w:tabs>
          <w:tab w:val="left" w:pos="720"/>
        </w:tabs>
        <w:rPr>
          <w:i/>
        </w:rPr>
      </w:pPr>
      <w:bookmarkStart w:id="1" w:name="Coding_Implications"/>
      <w:r w:rsidRPr="00CE3E82">
        <w:rPr>
          <w:i/>
        </w:rPr>
        <w:lastRenderedPageBreak/>
        <w:t>Guideline Recommendations</w:t>
      </w:r>
    </w:p>
    <w:p w14:paraId="3FE08B59" w14:textId="157A68A3" w:rsidR="00E60B32" w:rsidRPr="00CE3E82" w:rsidRDefault="00E60B32" w:rsidP="00B732C6">
      <w:pPr>
        <w:tabs>
          <w:tab w:val="left" w:pos="720"/>
        </w:tabs>
      </w:pPr>
      <w:r w:rsidRPr="00CE3E82">
        <w:t xml:space="preserve">The British Society of Gastroenterology (2006) recommends: </w:t>
      </w:r>
      <w:r w:rsidR="003D093C">
        <w:t>patients</w:t>
      </w:r>
      <w:r w:rsidRPr="00CE3E82">
        <w:t xml:space="preserve"> </w:t>
      </w:r>
      <w:r w:rsidR="005E607E">
        <w:t>with SBS,</w:t>
      </w:r>
      <w:r w:rsidR="003D093C">
        <w:t xml:space="preserve"> including</w:t>
      </w:r>
      <w:r w:rsidRPr="00CE3E82">
        <w:t xml:space="preserve"> irreversible intestinal failure</w:t>
      </w:r>
      <w:r w:rsidR="005E607E">
        <w:t>,</w:t>
      </w:r>
      <w:r w:rsidRPr="00CE3E82">
        <w:t xml:space="preserve"> expected to die prematurely on TPN</w:t>
      </w:r>
      <w:r w:rsidR="005E607E">
        <w:t>,</w:t>
      </w:r>
      <w:r w:rsidRPr="00CE3E82">
        <w:t xml:space="preserve"> should be referred for consideration of</w:t>
      </w:r>
      <w:r w:rsidR="003D093C">
        <w:t xml:space="preserve"> short bowel transplant</w:t>
      </w:r>
      <w:r w:rsidRPr="00CE3E82">
        <w:t xml:space="preserve"> where appropriate.</w:t>
      </w:r>
    </w:p>
    <w:p w14:paraId="244E9E3D" w14:textId="77777777" w:rsidR="00E60B32" w:rsidRPr="00CE3E82" w:rsidRDefault="00E60B32" w:rsidP="00B732C6">
      <w:pPr>
        <w:tabs>
          <w:tab w:val="left" w:pos="720"/>
        </w:tabs>
      </w:pPr>
    </w:p>
    <w:p w14:paraId="771959E1" w14:textId="4768B9FC" w:rsidR="00E60B32" w:rsidRPr="00CE3E82" w:rsidRDefault="00E60B32" w:rsidP="00B732C6">
      <w:pPr>
        <w:tabs>
          <w:tab w:val="left" w:pos="720"/>
        </w:tabs>
      </w:pPr>
      <w:r w:rsidRPr="00CE3E82">
        <w:t xml:space="preserve">The American Society of Transplantation (AST, 2001) issued a position paper on indications for pediatric intestinal transplantation. The AST recommends intestinal transplantation only for TPN-dependent children with intestinal failure who have or are likely to develop life-threatening TPN-related complications such as liver disease, recurrent sepsis, and threatened loss of central venous access. The AST stated that intestinal transplantation should not be performed solely because of continued dependence on TPN. </w:t>
      </w:r>
    </w:p>
    <w:p w14:paraId="229A1722" w14:textId="77777777" w:rsidR="00E60B32" w:rsidRPr="00CE3E82" w:rsidRDefault="00E60B32" w:rsidP="00B732C6">
      <w:pPr>
        <w:tabs>
          <w:tab w:val="left" w:pos="720"/>
        </w:tabs>
      </w:pPr>
    </w:p>
    <w:p w14:paraId="0C7639B6" w14:textId="77777777" w:rsidR="00E60B32" w:rsidRPr="00CE3E82" w:rsidRDefault="00E60B32" w:rsidP="00170B14">
      <w:pPr>
        <w:rPr>
          <w:b/>
        </w:rPr>
      </w:pPr>
      <w:r w:rsidRPr="00CE3E82">
        <w:rPr>
          <w:b/>
        </w:rPr>
        <w:t>Coding Implications</w:t>
      </w:r>
    </w:p>
    <w:bookmarkEnd w:id="1"/>
    <w:p w14:paraId="2E90C419" w14:textId="07527E2F" w:rsidR="00E60B32" w:rsidRDefault="00E60B32" w:rsidP="00AF5490">
      <w:r w:rsidRPr="00CE3E82">
        <w:t>This clinical policy references Current Procedural Terminology (CPT</w:t>
      </w:r>
      <w:r w:rsidRPr="00CE3E82">
        <w:rPr>
          <w:vertAlign w:val="superscript"/>
        </w:rPr>
        <w:t>®</w:t>
      </w:r>
      <w:r w:rsidRPr="00CE3E82">
        <w:t>). CPT</w:t>
      </w:r>
      <w:r w:rsidRPr="00CE3E82">
        <w:rPr>
          <w:vertAlign w:val="superscript"/>
        </w:rPr>
        <w:t>®</w:t>
      </w:r>
      <w:r w:rsidRPr="00CE3E82">
        <w:t xml:space="preserve"> is a registered </w:t>
      </w:r>
      <w:r w:rsidRPr="00507DC0">
        <w:t>trademark of the Americ</w:t>
      </w:r>
      <w:r>
        <w:t>an Medical Association. All CPT</w:t>
      </w:r>
      <w:r w:rsidRPr="00507DC0">
        <w:t xml:space="preserve"> codes and descriptions are copyrighted 201</w:t>
      </w:r>
      <w:r w:rsidR="00FE5C3C">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2BFC9C7" w14:textId="77777777" w:rsidR="00E60B32" w:rsidRPr="00A85489" w:rsidRDefault="00E60B3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6"/>
        <w:gridCol w:w="7798"/>
      </w:tblGrid>
      <w:tr w:rsidR="00E60B32" w:rsidRPr="00B777AF" w14:paraId="28038AB3" w14:textId="77777777" w:rsidTr="00CE3E82">
        <w:trPr>
          <w:tblHeader/>
        </w:trPr>
        <w:tc>
          <w:tcPr>
            <w:tcW w:w="1126" w:type="dxa"/>
            <w:shd w:val="clear" w:color="auto" w:fill="00548C"/>
          </w:tcPr>
          <w:p w14:paraId="12AC90D7" w14:textId="77777777" w:rsidR="00E60B32" w:rsidRPr="003A0929" w:rsidRDefault="00E60B32" w:rsidP="00F5238C">
            <w:pPr>
              <w:rPr>
                <w:b/>
                <w:bCs/>
                <w:color w:val="FFFFFF"/>
              </w:rPr>
            </w:pPr>
            <w:r w:rsidRPr="003A0929">
              <w:rPr>
                <w:b/>
                <w:color w:val="FFFFFF"/>
              </w:rPr>
              <w:t>CPT</w:t>
            </w:r>
            <w:r w:rsidRPr="003A0929">
              <w:rPr>
                <w:b/>
                <w:color w:val="FFFFFF"/>
                <w:vertAlign w:val="superscript"/>
              </w:rPr>
              <w:t>®</w:t>
            </w:r>
            <w:r w:rsidRPr="003A0929">
              <w:rPr>
                <w:b/>
                <w:color w:val="FFFFFF"/>
              </w:rPr>
              <w:t xml:space="preserve"> Codes </w:t>
            </w:r>
          </w:p>
        </w:tc>
        <w:tc>
          <w:tcPr>
            <w:tcW w:w="7798" w:type="dxa"/>
            <w:shd w:val="clear" w:color="auto" w:fill="00548C"/>
          </w:tcPr>
          <w:p w14:paraId="013D4EC5" w14:textId="77777777" w:rsidR="00E60B32" w:rsidRPr="003A0929" w:rsidRDefault="00E60B32" w:rsidP="00F5238C">
            <w:pPr>
              <w:rPr>
                <w:b/>
                <w:bCs/>
                <w:color w:val="FFFFFF"/>
              </w:rPr>
            </w:pPr>
            <w:r w:rsidRPr="003A0929">
              <w:rPr>
                <w:b/>
                <w:color w:val="FFFFFF"/>
              </w:rPr>
              <w:t>Description</w:t>
            </w:r>
          </w:p>
        </w:tc>
      </w:tr>
      <w:tr w:rsidR="00E60B32" w:rsidRPr="005144C0" w14:paraId="6CB6558E" w14:textId="77777777" w:rsidTr="00CE3E82">
        <w:tblPrEx>
          <w:tblLook w:val="00A0" w:firstRow="1" w:lastRow="0" w:firstColumn="1" w:lastColumn="0" w:noHBand="0" w:noVBand="0"/>
        </w:tblPrEx>
        <w:tc>
          <w:tcPr>
            <w:tcW w:w="1126" w:type="dxa"/>
          </w:tcPr>
          <w:p w14:paraId="47713675" w14:textId="77777777" w:rsidR="00E60B32" w:rsidRPr="003A0929" w:rsidRDefault="00E60B32" w:rsidP="00F5238C">
            <w:pPr>
              <w:rPr>
                <w:bCs/>
              </w:rPr>
            </w:pPr>
            <w:r w:rsidRPr="003A0929">
              <w:rPr>
                <w:bCs/>
              </w:rPr>
              <w:t>44135</w:t>
            </w:r>
          </w:p>
        </w:tc>
        <w:tc>
          <w:tcPr>
            <w:tcW w:w="7798" w:type="dxa"/>
          </w:tcPr>
          <w:p w14:paraId="5D42F4CD" w14:textId="77777777" w:rsidR="00E60B32" w:rsidRPr="003A0929" w:rsidRDefault="00E60B32" w:rsidP="00F5238C">
            <w:pPr>
              <w:rPr>
                <w:bCs/>
              </w:rPr>
            </w:pPr>
            <w:r w:rsidRPr="003A0929">
              <w:rPr>
                <w:bCs/>
              </w:rPr>
              <w:t xml:space="preserve">Intestinal </w:t>
            </w:r>
            <w:proofErr w:type="spellStart"/>
            <w:r w:rsidRPr="003A0929">
              <w:rPr>
                <w:bCs/>
              </w:rPr>
              <w:t>allotransplantation</w:t>
            </w:r>
            <w:proofErr w:type="spellEnd"/>
            <w:r w:rsidRPr="003A0929">
              <w:rPr>
                <w:bCs/>
              </w:rPr>
              <w:t>; from cadaver donor</w:t>
            </w:r>
          </w:p>
        </w:tc>
      </w:tr>
      <w:tr w:rsidR="00E60B32" w:rsidRPr="005144C0" w14:paraId="336C4F97" w14:textId="77777777" w:rsidTr="00CE3E82">
        <w:tblPrEx>
          <w:tblLook w:val="00A0" w:firstRow="1" w:lastRow="0" w:firstColumn="1" w:lastColumn="0" w:noHBand="0" w:noVBand="0"/>
        </w:tblPrEx>
        <w:tc>
          <w:tcPr>
            <w:tcW w:w="1126" w:type="dxa"/>
          </w:tcPr>
          <w:p w14:paraId="29FD16CF" w14:textId="77777777" w:rsidR="00E60B32" w:rsidRPr="003A0929" w:rsidRDefault="00E60B32" w:rsidP="00F5238C">
            <w:pPr>
              <w:rPr>
                <w:bCs/>
              </w:rPr>
            </w:pPr>
            <w:r w:rsidRPr="003A0929">
              <w:rPr>
                <w:bCs/>
              </w:rPr>
              <w:t>44136</w:t>
            </w:r>
          </w:p>
        </w:tc>
        <w:tc>
          <w:tcPr>
            <w:tcW w:w="7798" w:type="dxa"/>
          </w:tcPr>
          <w:p w14:paraId="6D60BE2A" w14:textId="77777777" w:rsidR="00E60B32" w:rsidRPr="003A0929" w:rsidRDefault="00E60B32" w:rsidP="00F5238C">
            <w:pPr>
              <w:rPr>
                <w:bCs/>
              </w:rPr>
            </w:pPr>
            <w:r w:rsidRPr="003A0929">
              <w:rPr>
                <w:bCs/>
              </w:rPr>
              <w:t xml:space="preserve">Intestinal </w:t>
            </w:r>
            <w:proofErr w:type="spellStart"/>
            <w:r w:rsidRPr="003A0929">
              <w:rPr>
                <w:bCs/>
              </w:rPr>
              <w:t>allotransplantation</w:t>
            </w:r>
            <w:proofErr w:type="spellEnd"/>
            <w:r w:rsidRPr="003A0929">
              <w:rPr>
                <w:bCs/>
              </w:rPr>
              <w:t>; from living donor</w:t>
            </w:r>
          </w:p>
        </w:tc>
      </w:tr>
      <w:tr w:rsidR="00CE3E82" w:rsidRPr="00CE3E82" w14:paraId="2D4A019E" w14:textId="77777777" w:rsidTr="00CE3E82">
        <w:tblPrEx>
          <w:tblLook w:val="00A0" w:firstRow="1" w:lastRow="0" w:firstColumn="1" w:lastColumn="0" w:noHBand="0" w:noVBand="0"/>
        </w:tblPrEx>
        <w:tc>
          <w:tcPr>
            <w:tcW w:w="1126" w:type="dxa"/>
          </w:tcPr>
          <w:p w14:paraId="5D3610EC" w14:textId="77777777" w:rsidR="00E60B32" w:rsidRPr="00CE3E82" w:rsidRDefault="00E60B32" w:rsidP="00F5238C">
            <w:pPr>
              <w:rPr>
                <w:bCs/>
              </w:rPr>
            </w:pPr>
            <w:r w:rsidRPr="00CE3E82">
              <w:rPr>
                <w:bCs/>
              </w:rPr>
              <w:t>44715</w:t>
            </w:r>
            <w:r w:rsidRPr="00CE3E82">
              <w:rPr>
                <w:bCs/>
              </w:rPr>
              <w:tab/>
            </w:r>
            <w:r w:rsidRPr="00CE3E82">
              <w:rPr>
                <w:bCs/>
              </w:rPr>
              <w:tab/>
            </w:r>
            <w:r w:rsidRPr="00CE3E82">
              <w:rPr>
                <w:bCs/>
              </w:rPr>
              <w:tab/>
            </w:r>
          </w:p>
        </w:tc>
        <w:tc>
          <w:tcPr>
            <w:tcW w:w="7798" w:type="dxa"/>
          </w:tcPr>
          <w:p w14:paraId="7E3408FE" w14:textId="77777777" w:rsidR="00E60B32" w:rsidRPr="00CE3E82" w:rsidRDefault="00E60B32" w:rsidP="00F5238C">
            <w:pPr>
              <w:rPr>
                <w:bCs/>
              </w:rPr>
            </w:pPr>
            <w:r w:rsidRPr="00CE3E82">
              <w:rPr>
                <w:bCs/>
              </w:rPr>
              <w:t xml:space="preserve">Backbench standard preparation of cadaver or living donor intestine allograft prior to transplantation, including mobilization and fashioning of the superior mesenteric artery and vein </w:t>
            </w:r>
          </w:p>
        </w:tc>
      </w:tr>
      <w:tr w:rsidR="00CE3E82" w:rsidRPr="00CE3E82" w14:paraId="07F1089D" w14:textId="77777777" w:rsidTr="00CE3E82">
        <w:tblPrEx>
          <w:tblLook w:val="00A0" w:firstRow="1" w:lastRow="0" w:firstColumn="1" w:lastColumn="0" w:noHBand="0" w:noVBand="0"/>
        </w:tblPrEx>
        <w:tc>
          <w:tcPr>
            <w:tcW w:w="1126" w:type="dxa"/>
          </w:tcPr>
          <w:p w14:paraId="0B2CE24B" w14:textId="77777777" w:rsidR="00E60B32" w:rsidRPr="00CE3E82" w:rsidRDefault="00E60B32" w:rsidP="00F5238C">
            <w:pPr>
              <w:rPr>
                <w:bCs/>
              </w:rPr>
            </w:pPr>
            <w:r w:rsidRPr="00CE3E82">
              <w:rPr>
                <w:bCs/>
              </w:rPr>
              <w:t>44720</w:t>
            </w:r>
            <w:r w:rsidRPr="00CE3E82">
              <w:rPr>
                <w:bCs/>
              </w:rPr>
              <w:tab/>
            </w:r>
            <w:r w:rsidRPr="00CE3E82">
              <w:rPr>
                <w:bCs/>
              </w:rPr>
              <w:tab/>
            </w:r>
          </w:p>
        </w:tc>
        <w:tc>
          <w:tcPr>
            <w:tcW w:w="7798" w:type="dxa"/>
          </w:tcPr>
          <w:p w14:paraId="53F20D32" w14:textId="77777777" w:rsidR="00E60B32" w:rsidRPr="00CE3E82" w:rsidRDefault="00E60B32" w:rsidP="00F5238C">
            <w:pPr>
              <w:rPr>
                <w:bCs/>
              </w:rPr>
            </w:pPr>
            <w:r w:rsidRPr="00CE3E82">
              <w:rPr>
                <w:bCs/>
              </w:rPr>
              <w:t xml:space="preserve">Backbench reconstruction of cadaver or living donor intestine allograft prior to transplantation; venous anastomosis, each </w:t>
            </w:r>
          </w:p>
        </w:tc>
      </w:tr>
      <w:tr w:rsidR="00CE3E82" w:rsidRPr="00CE3E82" w14:paraId="719B41E8" w14:textId="77777777" w:rsidTr="00CE3E82">
        <w:tblPrEx>
          <w:tblLook w:val="00A0" w:firstRow="1" w:lastRow="0" w:firstColumn="1" w:lastColumn="0" w:noHBand="0" w:noVBand="0"/>
        </w:tblPrEx>
        <w:tc>
          <w:tcPr>
            <w:tcW w:w="1126" w:type="dxa"/>
          </w:tcPr>
          <w:p w14:paraId="44E43385" w14:textId="77777777" w:rsidR="00E60B32" w:rsidRPr="00CE3E82" w:rsidRDefault="00E60B32" w:rsidP="00F5238C">
            <w:pPr>
              <w:rPr>
                <w:bCs/>
              </w:rPr>
            </w:pPr>
            <w:r w:rsidRPr="00CE3E82">
              <w:rPr>
                <w:bCs/>
              </w:rPr>
              <w:t>44721</w:t>
            </w:r>
            <w:r w:rsidRPr="00CE3E82">
              <w:rPr>
                <w:bCs/>
              </w:rPr>
              <w:tab/>
            </w:r>
            <w:r w:rsidRPr="00CE3E82">
              <w:rPr>
                <w:bCs/>
              </w:rPr>
              <w:tab/>
            </w:r>
          </w:p>
        </w:tc>
        <w:tc>
          <w:tcPr>
            <w:tcW w:w="7798" w:type="dxa"/>
          </w:tcPr>
          <w:p w14:paraId="01994FE9" w14:textId="77777777" w:rsidR="00E60B32" w:rsidRPr="00CE3E82" w:rsidRDefault="00E60B32" w:rsidP="00F5238C">
            <w:pPr>
              <w:rPr>
                <w:bCs/>
              </w:rPr>
            </w:pPr>
            <w:r w:rsidRPr="00CE3E82">
              <w:rPr>
                <w:bCs/>
              </w:rPr>
              <w:t xml:space="preserve">Backbench reconstruction of cadaver or living donor intestine allograft prior to transplantation; arterial anastomosis, each </w:t>
            </w:r>
          </w:p>
        </w:tc>
      </w:tr>
      <w:tr w:rsidR="005B1773" w:rsidRPr="00CE3E82" w14:paraId="2777034D" w14:textId="77777777" w:rsidTr="00CE3E82">
        <w:tblPrEx>
          <w:tblLook w:val="00A0" w:firstRow="1" w:lastRow="0" w:firstColumn="1" w:lastColumn="0" w:noHBand="0" w:noVBand="0"/>
        </w:tblPrEx>
        <w:tc>
          <w:tcPr>
            <w:tcW w:w="1126" w:type="dxa"/>
          </w:tcPr>
          <w:p w14:paraId="090919C3" w14:textId="1BC65F04" w:rsidR="005B1773" w:rsidRPr="00CE3E82" w:rsidRDefault="005B1773" w:rsidP="00F5238C">
            <w:pPr>
              <w:rPr>
                <w:bCs/>
              </w:rPr>
            </w:pPr>
            <w:r>
              <w:rPr>
                <w:bCs/>
              </w:rPr>
              <w:t>47135</w:t>
            </w:r>
          </w:p>
        </w:tc>
        <w:tc>
          <w:tcPr>
            <w:tcW w:w="7798" w:type="dxa"/>
          </w:tcPr>
          <w:p w14:paraId="3D2DF75A" w14:textId="27873D7F" w:rsidR="005B1773" w:rsidRPr="00CE3E82" w:rsidRDefault="005B1773" w:rsidP="00F5238C">
            <w:pPr>
              <w:rPr>
                <w:bCs/>
              </w:rPr>
            </w:pPr>
            <w:r w:rsidRPr="005B1773">
              <w:rPr>
                <w:bCs/>
              </w:rPr>
              <w:t xml:space="preserve">Liver </w:t>
            </w:r>
            <w:proofErr w:type="spellStart"/>
            <w:r w:rsidRPr="005B1773">
              <w:rPr>
                <w:bCs/>
              </w:rPr>
              <w:t>allotransplantation</w:t>
            </w:r>
            <w:proofErr w:type="spellEnd"/>
            <w:r w:rsidRPr="005B1773">
              <w:rPr>
                <w:bCs/>
              </w:rPr>
              <w:t xml:space="preserve">, </w:t>
            </w:r>
            <w:proofErr w:type="spellStart"/>
            <w:r w:rsidRPr="005B1773">
              <w:rPr>
                <w:bCs/>
              </w:rPr>
              <w:t>orthotopic</w:t>
            </w:r>
            <w:proofErr w:type="spellEnd"/>
            <w:r w:rsidRPr="005B1773">
              <w:rPr>
                <w:bCs/>
              </w:rPr>
              <w:t>, partial or whole, from cadaver or living donor, any age</w:t>
            </w:r>
          </w:p>
        </w:tc>
      </w:tr>
      <w:tr w:rsidR="00CE3E82" w:rsidRPr="00CE3E82" w14:paraId="1A5CFC13" w14:textId="77777777" w:rsidTr="00CE3E82">
        <w:tblPrEx>
          <w:tblLook w:val="00A0" w:firstRow="1" w:lastRow="0" w:firstColumn="1" w:lastColumn="0" w:noHBand="0" w:noVBand="0"/>
        </w:tblPrEx>
        <w:tc>
          <w:tcPr>
            <w:tcW w:w="1126" w:type="dxa"/>
          </w:tcPr>
          <w:p w14:paraId="6C3C5E2F" w14:textId="77777777" w:rsidR="00E60B32" w:rsidRPr="00CE3E82" w:rsidRDefault="00E60B32" w:rsidP="00F5238C">
            <w:pPr>
              <w:rPr>
                <w:bCs/>
              </w:rPr>
            </w:pPr>
            <w:r w:rsidRPr="00CE3E82">
              <w:rPr>
                <w:bCs/>
              </w:rPr>
              <w:t>47143</w:t>
            </w:r>
          </w:p>
        </w:tc>
        <w:tc>
          <w:tcPr>
            <w:tcW w:w="7798" w:type="dxa"/>
          </w:tcPr>
          <w:p w14:paraId="62F63505" w14:textId="77777777" w:rsidR="00E60B32" w:rsidRPr="00CE3E82" w:rsidRDefault="00E60B32" w:rsidP="00F5238C">
            <w:pPr>
              <w:rPr>
                <w:bCs/>
              </w:rPr>
            </w:pPr>
            <w:r w:rsidRPr="00CE3E82">
              <w:rPr>
                <w:bCs/>
              </w:rPr>
              <w:t xml:space="preserve">Backbench standard preparation of cadaver donor whole liver graft prior to </w:t>
            </w:r>
            <w:proofErr w:type="spellStart"/>
            <w:r w:rsidRPr="00CE3E82">
              <w:rPr>
                <w:bCs/>
              </w:rPr>
              <w:t>allotransplantation</w:t>
            </w:r>
            <w:proofErr w:type="spellEnd"/>
            <w:r w:rsidRPr="00CE3E82">
              <w:rPr>
                <w:bCs/>
              </w:rPr>
              <w:t xml:space="preserve">, including cholecystectomy, if necessary, and dissection and removal of surrounding soft tissues to prepare the vena cava, portal vein, hepatic artery, and common bile duct for implantation; without </w:t>
            </w:r>
            <w:proofErr w:type="spellStart"/>
            <w:r w:rsidRPr="00CE3E82">
              <w:rPr>
                <w:bCs/>
              </w:rPr>
              <w:t>trisegment</w:t>
            </w:r>
            <w:proofErr w:type="spellEnd"/>
            <w:r w:rsidRPr="00CE3E82">
              <w:rPr>
                <w:bCs/>
              </w:rPr>
              <w:t xml:space="preserve"> or lobe split</w:t>
            </w:r>
          </w:p>
        </w:tc>
      </w:tr>
      <w:tr w:rsidR="00CE3E82" w:rsidRPr="00CE3E82" w14:paraId="3C3C7B64" w14:textId="77777777" w:rsidTr="00CE3E82">
        <w:tblPrEx>
          <w:tblLook w:val="00A0" w:firstRow="1" w:lastRow="0" w:firstColumn="1" w:lastColumn="0" w:noHBand="0" w:noVBand="0"/>
        </w:tblPrEx>
        <w:tc>
          <w:tcPr>
            <w:tcW w:w="1126" w:type="dxa"/>
          </w:tcPr>
          <w:p w14:paraId="7C3F3705" w14:textId="77777777" w:rsidR="00E60B32" w:rsidRPr="00CE3E82" w:rsidRDefault="00E60B32" w:rsidP="00F5238C">
            <w:pPr>
              <w:rPr>
                <w:bCs/>
              </w:rPr>
            </w:pPr>
            <w:r w:rsidRPr="00CE3E82">
              <w:t>47144</w:t>
            </w:r>
            <w:r w:rsidRPr="00CE3E82">
              <w:tab/>
            </w:r>
            <w:r w:rsidRPr="00CE3E82">
              <w:tab/>
            </w:r>
            <w:r w:rsidRPr="00CE3E82">
              <w:tab/>
            </w:r>
            <w:r w:rsidRPr="00CE3E82">
              <w:tab/>
            </w:r>
          </w:p>
        </w:tc>
        <w:tc>
          <w:tcPr>
            <w:tcW w:w="7798" w:type="dxa"/>
          </w:tcPr>
          <w:p w14:paraId="202EBE05" w14:textId="77777777" w:rsidR="00E60B32" w:rsidRPr="00CE3E82" w:rsidRDefault="00E60B32" w:rsidP="00F5238C">
            <w:pPr>
              <w:rPr>
                <w:bCs/>
              </w:rPr>
            </w:pPr>
            <w:r w:rsidRPr="00CE3E82">
              <w:rPr>
                <w:snapToGrid w:val="0"/>
              </w:rPr>
              <w:t xml:space="preserve">Backbench standard preparation of cadaver donor whole liver graft prior to </w:t>
            </w:r>
            <w:proofErr w:type="spellStart"/>
            <w:r w:rsidRPr="00CE3E82">
              <w:rPr>
                <w:snapToGrid w:val="0"/>
              </w:rPr>
              <w:t>allotransplantation</w:t>
            </w:r>
            <w:proofErr w:type="spellEnd"/>
            <w:r w:rsidRPr="00CE3E82">
              <w:rPr>
                <w:snapToGrid w:val="0"/>
              </w:rPr>
              <w:t xml:space="preserve">, including cholecystectomy, if necessary, and dissection and removal of surrounding soft tissues to prepare the vena cava, portal vein, hepatic artery, and common bile duct for implantation; with </w:t>
            </w:r>
            <w:proofErr w:type="spellStart"/>
            <w:r w:rsidRPr="00CE3E82">
              <w:rPr>
                <w:snapToGrid w:val="0"/>
              </w:rPr>
              <w:t>trisegment</w:t>
            </w:r>
            <w:proofErr w:type="spellEnd"/>
            <w:r w:rsidRPr="00CE3E82">
              <w:rPr>
                <w:snapToGrid w:val="0"/>
              </w:rPr>
              <w:t xml:space="preserve"> split of whole liver graft into two partial liver grafts (i.e., left lateral segment (segments II and III) and right </w:t>
            </w:r>
            <w:proofErr w:type="spellStart"/>
            <w:r w:rsidRPr="00CE3E82">
              <w:rPr>
                <w:snapToGrid w:val="0"/>
              </w:rPr>
              <w:t>trisegment</w:t>
            </w:r>
            <w:proofErr w:type="spellEnd"/>
            <w:r w:rsidRPr="00CE3E82">
              <w:rPr>
                <w:snapToGrid w:val="0"/>
              </w:rPr>
              <w:t xml:space="preserve"> (segments I and IV through VIII)</w:t>
            </w:r>
          </w:p>
        </w:tc>
      </w:tr>
      <w:tr w:rsidR="00CE3E82" w:rsidRPr="00CE3E82" w14:paraId="090CB9EB" w14:textId="77777777" w:rsidTr="00CE3E82">
        <w:tblPrEx>
          <w:tblLook w:val="00A0" w:firstRow="1" w:lastRow="0" w:firstColumn="1" w:lastColumn="0" w:noHBand="0" w:noVBand="0"/>
        </w:tblPrEx>
        <w:tc>
          <w:tcPr>
            <w:tcW w:w="1126" w:type="dxa"/>
          </w:tcPr>
          <w:p w14:paraId="7756804B" w14:textId="77777777" w:rsidR="00E60B32" w:rsidRPr="00CE3E82" w:rsidRDefault="00E60B32" w:rsidP="00F5238C">
            <w:pPr>
              <w:rPr>
                <w:bCs/>
              </w:rPr>
            </w:pPr>
            <w:r w:rsidRPr="00CE3E82">
              <w:rPr>
                <w:bCs/>
              </w:rPr>
              <w:lastRenderedPageBreak/>
              <w:t>47145</w:t>
            </w:r>
          </w:p>
        </w:tc>
        <w:tc>
          <w:tcPr>
            <w:tcW w:w="7798" w:type="dxa"/>
          </w:tcPr>
          <w:p w14:paraId="592C06C6" w14:textId="4703ADE7" w:rsidR="00E60B32" w:rsidRPr="00CE3E82" w:rsidRDefault="00E60B32" w:rsidP="00CE3E82">
            <w:pPr>
              <w:tabs>
                <w:tab w:val="left" w:pos="-56"/>
                <w:tab w:val="left" w:pos="2178"/>
                <w:tab w:val="left" w:pos="10458"/>
              </w:tabs>
              <w:spacing w:before="20" w:after="20"/>
              <w:ind w:left="21" w:right="216"/>
            </w:pPr>
            <w:r w:rsidRPr="00CE3E82">
              <w:rPr>
                <w:snapToGrid w:val="0"/>
              </w:rPr>
              <w:t>Backbench standard preparation of cadave</w:t>
            </w:r>
            <w:r w:rsidR="00CE3E82" w:rsidRPr="00CE3E82">
              <w:rPr>
                <w:snapToGrid w:val="0"/>
              </w:rPr>
              <w:t xml:space="preserve">r donor whole liver graft prior </w:t>
            </w:r>
            <w:r w:rsidRPr="00CE3E82">
              <w:rPr>
                <w:snapToGrid w:val="0"/>
              </w:rPr>
              <w:t xml:space="preserve">to </w:t>
            </w:r>
            <w:proofErr w:type="spellStart"/>
            <w:r w:rsidRPr="00CE3E82">
              <w:rPr>
                <w:snapToGrid w:val="0"/>
              </w:rPr>
              <w:t>allotransplantation</w:t>
            </w:r>
            <w:proofErr w:type="spellEnd"/>
            <w:r w:rsidRPr="00CE3E82">
              <w:rPr>
                <w:snapToGrid w:val="0"/>
              </w:rPr>
              <w:t>, including cholecystectomy, if necessary, and dissection</w:t>
            </w:r>
            <w:r w:rsidR="00CE3E82" w:rsidRPr="00CE3E82">
              <w:rPr>
                <w:snapToGrid w:val="0"/>
              </w:rPr>
              <w:t xml:space="preserve"> </w:t>
            </w:r>
            <w:r w:rsidRPr="00CE3E82">
              <w:rPr>
                <w:snapToGrid w:val="0"/>
              </w:rPr>
              <w:t>and removal of surrounding soft tissues to prepare the vena cava, portal</w:t>
            </w:r>
            <w:r w:rsidR="00CE3E82" w:rsidRPr="00CE3E82">
              <w:rPr>
                <w:snapToGrid w:val="0"/>
              </w:rPr>
              <w:t xml:space="preserve"> </w:t>
            </w:r>
            <w:r w:rsidRPr="00CE3E82">
              <w:rPr>
                <w:snapToGrid w:val="0"/>
              </w:rPr>
              <w:t xml:space="preserve">vein, hepatic artery, and common bile duct for implantation; with lobe split of whole liver graft into two partial liver grafts (i.e., left lobe (segments II, III, and IV) and right lobe (segments I and V through VIII) </w:t>
            </w:r>
          </w:p>
        </w:tc>
      </w:tr>
      <w:tr w:rsidR="00CE3E82" w:rsidRPr="00CE3E82" w14:paraId="12AC51CA" w14:textId="77777777" w:rsidTr="00CE3E82">
        <w:tblPrEx>
          <w:tblLook w:val="00A0" w:firstRow="1" w:lastRow="0" w:firstColumn="1" w:lastColumn="0" w:noHBand="0" w:noVBand="0"/>
        </w:tblPrEx>
        <w:tc>
          <w:tcPr>
            <w:tcW w:w="1126" w:type="dxa"/>
          </w:tcPr>
          <w:p w14:paraId="484513A2" w14:textId="77777777" w:rsidR="00E60B32" w:rsidRPr="00CE3E82" w:rsidRDefault="00E60B32" w:rsidP="00F5238C">
            <w:pPr>
              <w:rPr>
                <w:bCs/>
              </w:rPr>
            </w:pPr>
            <w:r w:rsidRPr="00CE3E82">
              <w:rPr>
                <w:bCs/>
              </w:rPr>
              <w:t xml:space="preserve">47146 </w:t>
            </w:r>
          </w:p>
        </w:tc>
        <w:tc>
          <w:tcPr>
            <w:tcW w:w="7798" w:type="dxa"/>
          </w:tcPr>
          <w:p w14:paraId="1D0F0E96" w14:textId="77777777" w:rsidR="00E60B32" w:rsidRPr="00CE3E82" w:rsidRDefault="00E60B32" w:rsidP="00B61A17">
            <w:pPr>
              <w:tabs>
                <w:tab w:val="left" w:pos="1188"/>
                <w:tab w:val="left" w:pos="1260"/>
                <w:tab w:val="left" w:pos="1759"/>
                <w:tab w:val="left" w:pos="2178"/>
                <w:tab w:val="left" w:pos="10458"/>
              </w:tabs>
              <w:spacing w:before="20" w:after="20"/>
              <w:ind w:left="1755" w:right="216" w:hanging="1755"/>
              <w:rPr>
                <w:snapToGrid w:val="0"/>
              </w:rPr>
            </w:pPr>
            <w:r w:rsidRPr="00CE3E82">
              <w:rPr>
                <w:snapToGrid w:val="0"/>
              </w:rPr>
              <w:t xml:space="preserve">Backbench reconstruction of cadaver or living donor liver graft prior to </w:t>
            </w:r>
          </w:p>
          <w:p w14:paraId="65AF5713" w14:textId="77777777" w:rsidR="00E60B32" w:rsidRPr="00CE3E82" w:rsidRDefault="00E60B32" w:rsidP="00F5238C">
            <w:proofErr w:type="spellStart"/>
            <w:r w:rsidRPr="00CE3E82">
              <w:rPr>
                <w:snapToGrid w:val="0"/>
              </w:rPr>
              <w:t>allotransplantation</w:t>
            </w:r>
            <w:proofErr w:type="spellEnd"/>
            <w:r w:rsidRPr="00CE3E82">
              <w:rPr>
                <w:snapToGrid w:val="0"/>
              </w:rPr>
              <w:t xml:space="preserve">; venous anastomosis, each </w:t>
            </w:r>
          </w:p>
        </w:tc>
      </w:tr>
      <w:tr w:rsidR="00CE3E82" w:rsidRPr="00CE3E82" w14:paraId="7EF7869C" w14:textId="77777777" w:rsidTr="00CE3E82">
        <w:tblPrEx>
          <w:tblLook w:val="00A0" w:firstRow="1" w:lastRow="0" w:firstColumn="1" w:lastColumn="0" w:noHBand="0" w:noVBand="0"/>
        </w:tblPrEx>
        <w:tc>
          <w:tcPr>
            <w:tcW w:w="1126" w:type="dxa"/>
          </w:tcPr>
          <w:p w14:paraId="77CA7CB5" w14:textId="77777777" w:rsidR="00E60B32" w:rsidRPr="00CE3E82" w:rsidRDefault="00E60B32" w:rsidP="00F5238C">
            <w:pPr>
              <w:rPr>
                <w:bCs/>
              </w:rPr>
            </w:pPr>
            <w:r w:rsidRPr="00CE3E82">
              <w:rPr>
                <w:bCs/>
              </w:rPr>
              <w:t xml:space="preserve">47147 </w:t>
            </w:r>
          </w:p>
        </w:tc>
        <w:tc>
          <w:tcPr>
            <w:tcW w:w="7798" w:type="dxa"/>
          </w:tcPr>
          <w:p w14:paraId="2E1F3327" w14:textId="77777777" w:rsidR="00E60B32" w:rsidRPr="00CE3E82" w:rsidRDefault="00E60B32" w:rsidP="00B61A17">
            <w:pPr>
              <w:tabs>
                <w:tab w:val="left" w:pos="1188"/>
                <w:tab w:val="left" w:pos="1260"/>
                <w:tab w:val="left" w:pos="1759"/>
                <w:tab w:val="left" w:pos="2178"/>
                <w:tab w:val="left" w:pos="10458"/>
              </w:tabs>
              <w:spacing w:line="240" w:lineRule="atLeast"/>
              <w:ind w:left="1755" w:hanging="1755"/>
              <w:rPr>
                <w:snapToGrid w:val="0"/>
              </w:rPr>
            </w:pPr>
            <w:r w:rsidRPr="00CE3E82">
              <w:rPr>
                <w:snapToGrid w:val="0"/>
              </w:rPr>
              <w:t xml:space="preserve">Backbench reconstruction of cadaver or living donor liver graft prior to </w:t>
            </w:r>
          </w:p>
          <w:p w14:paraId="7DFA1B55" w14:textId="77777777" w:rsidR="00E60B32" w:rsidRPr="00CE3E82" w:rsidRDefault="00E60B32" w:rsidP="00F5238C">
            <w:proofErr w:type="spellStart"/>
            <w:r w:rsidRPr="00CE3E82">
              <w:rPr>
                <w:snapToGrid w:val="0"/>
              </w:rPr>
              <w:t>allotransplantation</w:t>
            </w:r>
            <w:proofErr w:type="spellEnd"/>
            <w:r w:rsidRPr="00CE3E82">
              <w:rPr>
                <w:snapToGrid w:val="0"/>
              </w:rPr>
              <w:t xml:space="preserve">; arterial anastomosis, each </w:t>
            </w:r>
          </w:p>
        </w:tc>
      </w:tr>
    </w:tbl>
    <w:p w14:paraId="78F3FCE3" w14:textId="77777777" w:rsidR="00E60B32" w:rsidRPr="00CE3E82" w:rsidRDefault="00E60B3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50"/>
        <w:gridCol w:w="7774"/>
      </w:tblGrid>
      <w:tr w:rsidR="00E60B32" w:rsidRPr="00CE3E82" w14:paraId="77EE9F12" w14:textId="77777777" w:rsidTr="00CE3E82">
        <w:trPr>
          <w:tblHeader/>
        </w:trPr>
        <w:tc>
          <w:tcPr>
            <w:tcW w:w="1150" w:type="dxa"/>
            <w:shd w:val="clear" w:color="auto" w:fill="00548C"/>
          </w:tcPr>
          <w:p w14:paraId="43399829" w14:textId="77777777" w:rsidR="00E60B32" w:rsidRPr="00CE3E82" w:rsidRDefault="00E60B32" w:rsidP="00F5238C">
            <w:pPr>
              <w:rPr>
                <w:b/>
                <w:bCs/>
                <w:color w:val="FFFFFF"/>
              </w:rPr>
            </w:pPr>
            <w:r w:rsidRPr="00CE3E82">
              <w:rPr>
                <w:b/>
                <w:color w:val="FFFFFF"/>
              </w:rPr>
              <w:t xml:space="preserve">HCPCS Codes </w:t>
            </w:r>
          </w:p>
        </w:tc>
        <w:tc>
          <w:tcPr>
            <w:tcW w:w="7774" w:type="dxa"/>
            <w:shd w:val="clear" w:color="auto" w:fill="00548C"/>
          </w:tcPr>
          <w:p w14:paraId="138F34F0" w14:textId="77777777" w:rsidR="00E60B32" w:rsidRPr="00CE3E82" w:rsidRDefault="00E60B32" w:rsidP="00F5238C">
            <w:pPr>
              <w:rPr>
                <w:b/>
                <w:bCs/>
                <w:color w:val="FFFFFF"/>
              </w:rPr>
            </w:pPr>
            <w:r w:rsidRPr="00CE3E82">
              <w:rPr>
                <w:b/>
                <w:color w:val="FFFFFF"/>
              </w:rPr>
              <w:t>Description</w:t>
            </w:r>
          </w:p>
        </w:tc>
      </w:tr>
      <w:tr w:rsidR="00E60B32" w:rsidRPr="00CE3E82" w14:paraId="5BD55E17" w14:textId="77777777" w:rsidTr="00CE3E82">
        <w:tblPrEx>
          <w:tblLook w:val="00A0" w:firstRow="1" w:lastRow="0" w:firstColumn="1" w:lastColumn="0" w:noHBand="0" w:noVBand="0"/>
        </w:tblPrEx>
        <w:tc>
          <w:tcPr>
            <w:tcW w:w="1150" w:type="dxa"/>
          </w:tcPr>
          <w:p w14:paraId="4A9DF24F" w14:textId="77777777" w:rsidR="00E60B32" w:rsidRPr="00CE3E82" w:rsidRDefault="00E60B32" w:rsidP="00F5238C">
            <w:pPr>
              <w:rPr>
                <w:bCs/>
              </w:rPr>
            </w:pPr>
            <w:r w:rsidRPr="00CE3E82">
              <w:rPr>
                <w:bCs/>
              </w:rPr>
              <w:t>S2053</w:t>
            </w:r>
          </w:p>
        </w:tc>
        <w:tc>
          <w:tcPr>
            <w:tcW w:w="7774" w:type="dxa"/>
          </w:tcPr>
          <w:p w14:paraId="2865936C" w14:textId="77777777" w:rsidR="00E60B32" w:rsidRPr="00CE3E82" w:rsidRDefault="00E60B32" w:rsidP="00F5238C">
            <w:pPr>
              <w:rPr>
                <w:bCs/>
              </w:rPr>
            </w:pPr>
            <w:r w:rsidRPr="00CE3E82">
              <w:rPr>
                <w:bCs/>
              </w:rPr>
              <w:t>Transplantation of small intestine and liver allografts</w:t>
            </w:r>
          </w:p>
        </w:tc>
      </w:tr>
      <w:tr w:rsidR="00E60B32" w:rsidRPr="00CE3E82" w14:paraId="0D051350" w14:textId="77777777" w:rsidTr="00CE3E82">
        <w:tblPrEx>
          <w:tblLook w:val="00A0" w:firstRow="1" w:lastRow="0" w:firstColumn="1" w:lastColumn="0" w:noHBand="0" w:noVBand="0"/>
        </w:tblPrEx>
        <w:tc>
          <w:tcPr>
            <w:tcW w:w="1150" w:type="dxa"/>
          </w:tcPr>
          <w:p w14:paraId="2387799D" w14:textId="77777777" w:rsidR="00E60B32" w:rsidRPr="00CE3E82" w:rsidRDefault="00E60B32" w:rsidP="00F5238C">
            <w:pPr>
              <w:rPr>
                <w:bCs/>
              </w:rPr>
            </w:pPr>
            <w:r w:rsidRPr="00CE3E82">
              <w:rPr>
                <w:bCs/>
              </w:rPr>
              <w:t>S2054</w:t>
            </w:r>
          </w:p>
        </w:tc>
        <w:tc>
          <w:tcPr>
            <w:tcW w:w="7774" w:type="dxa"/>
          </w:tcPr>
          <w:p w14:paraId="1F514D09" w14:textId="77777777" w:rsidR="00E60B32" w:rsidRPr="00CE3E82" w:rsidRDefault="00E60B32" w:rsidP="00F5238C">
            <w:pPr>
              <w:rPr>
                <w:bCs/>
              </w:rPr>
            </w:pPr>
            <w:r w:rsidRPr="00CE3E82">
              <w:rPr>
                <w:bCs/>
              </w:rPr>
              <w:t xml:space="preserve">Transplantation of </w:t>
            </w:r>
            <w:proofErr w:type="spellStart"/>
            <w:r w:rsidRPr="00CE3E82">
              <w:rPr>
                <w:bCs/>
              </w:rPr>
              <w:t>multivisceral</w:t>
            </w:r>
            <w:proofErr w:type="spellEnd"/>
            <w:r w:rsidRPr="00CE3E82">
              <w:rPr>
                <w:bCs/>
              </w:rPr>
              <w:t xml:space="preserve"> organs</w:t>
            </w:r>
          </w:p>
        </w:tc>
      </w:tr>
      <w:tr w:rsidR="00E60B32" w:rsidRPr="00CE3E82" w14:paraId="09254509" w14:textId="77777777" w:rsidTr="00CE3E82">
        <w:tblPrEx>
          <w:tblLook w:val="00A0" w:firstRow="1" w:lastRow="0" w:firstColumn="1" w:lastColumn="0" w:noHBand="0" w:noVBand="0"/>
        </w:tblPrEx>
        <w:tc>
          <w:tcPr>
            <w:tcW w:w="1150" w:type="dxa"/>
          </w:tcPr>
          <w:p w14:paraId="16C28AA7" w14:textId="77777777" w:rsidR="00E60B32" w:rsidRPr="00CE3E82" w:rsidRDefault="00E60B32" w:rsidP="00F5238C">
            <w:pPr>
              <w:rPr>
                <w:bCs/>
              </w:rPr>
            </w:pPr>
            <w:r w:rsidRPr="00CE3E82">
              <w:rPr>
                <w:bCs/>
              </w:rPr>
              <w:t>S2055</w:t>
            </w:r>
          </w:p>
        </w:tc>
        <w:tc>
          <w:tcPr>
            <w:tcW w:w="7774" w:type="dxa"/>
          </w:tcPr>
          <w:p w14:paraId="404DF10D" w14:textId="77777777" w:rsidR="00E60B32" w:rsidRPr="00CE3E82" w:rsidRDefault="00E60B32" w:rsidP="00F5238C">
            <w:pPr>
              <w:rPr>
                <w:bCs/>
              </w:rPr>
            </w:pPr>
            <w:r w:rsidRPr="00CE3E82">
              <w:rPr>
                <w:bCs/>
              </w:rPr>
              <w:t xml:space="preserve">Harvesting of donor </w:t>
            </w:r>
            <w:proofErr w:type="spellStart"/>
            <w:r w:rsidRPr="00CE3E82">
              <w:rPr>
                <w:bCs/>
              </w:rPr>
              <w:t>multivisceral</w:t>
            </w:r>
            <w:proofErr w:type="spellEnd"/>
            <w:r w:rsidRPr="00CE3E82">
              <w:rPr>
                <w:bCs/>
              </w:rPr>
              <w:t xml:space="preserve"> organs, with preparation and maintenance of allografts; from cadaver donor</w:t>
            </w:r>
          </w:p>
        </w:tc>
      </w:tr>
      <w:tr w:rsidR="00CE3E82" w:rsidRPr="00CE3E82" w14:paraId="3BE2A3EE" w14:textId="77777777" w:rsidTr="00CE3E82">
        <w:tblPrEx>
          <w:tblLook w:val="00A0" w:firstRow="1" w:lastRow="0" w:firstColumn="1" w:lastColumn="0" w:noHBand="0" w:noVBand="0"/>
        </w:tblPrEx>
        <w:tc>
          <w:tcPr>
            <w:tcW w:w="1150" w:type="dxa"/>
          </w:tcPr>
          <w:p w14:paraId="75D61E6B" w14:textId="77777777" w:rsidR="00E60B32" w:rsidRPr="00CE3E82" w:rsidRDefault="00E60B32" w:rsidP="00F5238C">
            <w:pPr>
              <w:rPr>
                <w:bCs/>
              </w:rPr>
            </w:pPr>
            <w:r w:rsidRPr="00CE3E82">
              <w:rPr>
                <w:bCs/>
              </w:rPr>
              <w:t xml:space="preserve">S2152 </w:t>
            </w:r>
            <w:r w:rsidRPr="00CE3E82">
              <w:rPr>
                <w:bCs/>
              </w:rPr>
              <w:tab/>
            </w:r>
            <w:r w:rsidRPr="00CE3E82">
              <w:rPr>
                <w:bCs/>
              </w:rPr>
              <w:tab/>
            </w:r>
            <w:r w:rsidRPr="00CE3E82">
              <w:rPr>
                <w:bCs/>
              </w:rPr>
              <w:tab/>
            </w:r>
          </w:p>
        </w:tc>
        <w:tc>
          <w:tcPr>
            <w:tcW w:w="7774" w:type="dxa"/>
          </w:tcPr>
          <w:p w14:paraId="3259D8E5" w14:textId="77777777" w:rsidR="00E60B32" w:rsidRPr="00CE3E82" w:rsidRDefault="00E60B32" w:rsidP="00F5238C">
            <w:pPr>
              <w:rPr>
                <w:bCs/>
              </w:rPr>
            </w:pPr>
            <w:r w:rsidRPr="00CE3E82">
              <w:rPr>
                <w:bCs/>
              </w:rPr>
              <w:t>Solid organs(s), complete or segmental, single organ or combination of organs; deceased or living donor(s), procurement, transplantation, and related complications; including: drugs; supplies; hospitalization with outpatient follow-up; medical/surgical, diagnostic, emergency, and rehabilitative services; and the number of days of pre- and post-transplant care in the global definition</w:t>
            </w:r>
          </w:p>
        </w:tc>
      </w:tr>
    </w:tbl>
    <w:p w14:paraId="00B7BA08" w14:textId="77777777" w:rsidR="00E60B32" w:rsidRPr="00CE3E82" w:rsidRDefault="00E60B32" w:rsidP="00AF5490"/>
    <w:p w14:paraId="23686CD8" w14:textId="202209C2" w:rsidR="00E60B32" w:rsidRPr="00CE3E82" w:rsidRDefault="00E60B32" w:rsidP="00F3168D">
      <w:pPr>
        <w:rPr>
          <w:b/>
        </w:rPr>
      </w:pPr>
      <w:r w:rsidRPr="00CE3E8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95"/>
        <w:gridCol w:w="7129"/>
      </w:tblGrid>
      <w:tr w:rsidR="00E60B32" w:rsidRPr="00CE3E82" w14:paraId="7BDB228C" w14:textId="77777777" w:rsidTr="005C69AB">
        <w:trPr>
          <w:tblHeader/>
        </w:trPr>
        <w:tc>
          <w:tcPr>
            <w:tcW w:w="1795" w:type="dxa"/>
            <w:shd w:val="clear" w:color="auto" w:fill="00548C"/>
          </w:tcPr>
          <w:p w14:paraId="78246D30" w14:textId="77777777" w:rsidR="00E60B32" w:rsidRPr="00CE3E82" w:rsidRDefault="00E60B32" w:rsidP="000240B3">
            <w:pPr>
              <w:rPr>
                <w:b/>
                <w:bCs/>
                <w:color w:val="FFFFFF"/>
              </w:rPr>
            </w:pPr>
            <w:r w:rsidRPr="00CE3E82">
              <w:rPr>
                <w:b/>
                <w:color w:val="FFFFFF"/>
              </w:rPr>
              <w:t>ICD-10-CM Code</w:t>
            </w:r>
          </w:p>
        </w:tc>
        <w:tc>
          <w:tcPr>
            <w:tcW w:w="7129" w:type="dxa"/>
            <w:shd w:val="clear" w:color="auto" w:fill="00548C"/>
          </w:tcPr>
          <w:p w14:paraId="287DC429" w14:textId="77777777" w:rsidR="00E60B32" w:rsidRPr="00CE3E82" w:rsidRDefault="00E60B32" w:rsidP="000240B3">
            <w:pPr>
              <w:rPr>
                <w:b/>
                <w:bCs/>
                <w:color w:val="FFFFFF"/>
              </w:rPr>
            </w:pPr>
            <w:r w:rsidRPr="00CE3E82">
              <w:rPr>
                <w:b/>
                <w:color w:val="FFFFFF"/>
              </w:rPr>
              <w:t>Description</w:t>
            </w:r>
          </w:p>
        </w:tc>
      </w:tr>
      <w:tr w:rsidR="00CE3E82" w:rsidRPr="00CE3E82" w14:paraId="59AE2D37" w14:textId="77777777" w:rsidTr="005C69AB">
        <w:tc>
          <w:tcPr>
            <w:tcW w:w="1795" w:type="dxa"/>
          </w:tcPr>
          <w:p w14:paraId="20C943E8" w14:textId="6DFB35DF" w:rsidR="00E60B32" w:rsidRPr="00CE3E82" w:rsidRDefault="00E60B32" w:rsidP="000240B3">
            <w:pPr>
              <w:rPr>
                <w:bCs/>
              </w:rPr>
            </w:pPr>
            <w:r w:rsidRPr="00CE3E82">
              <w:rPr>
                <w:bCs/>
              </w:rPr>
              <w:t>A41.</w:t>
            </w:r>
            <w:r w:rsidR="005E23E7">
              <w:rPr>
                <w:bCs/>
              </w:rPr>
              <w:t>8</w:t>
            </w:r>
            <w:r w:rsidRPr="00CE3E82">
              <w:rPr>
                <w:bCs/>
              </w:rPr>
              <w:t>9</w:t>
            </w:r>
          </w:p>
        </w:tc>
        <w:tc>
          <w:tcPr>
            <w:tcW w:w="7129" w:type="dxa"/>
          </w:tcPr>
          <w:p w14:paraId="643ED63F" w14:textId="594E925D" w:rsidR="00E60B32" w:rsidRPr="00CE3E82" w:rsidRDefault="00E60B32" w:rsidP="000240B3">
            <w:pPr>
              <w:rPr>
                <w:bCs/>
              </w:rPr>
            </w:pPr>
            <w:r w:rsidRPr="00CE3E82">
              <w:rPr>
                <w:bCs/>
              </w:rPr>
              <w:t xml:space="preserve">Other </w:t>
            </w:r>
            <w:r w:rsidR="005E23E7">
              <w:rPr>
                <w:bCs/>
              </w:rPr>
              <w:t xml:space="preserve">specified </w:t>
            </w:r>
            <w:r w:rsidRPr="00CE3E82">
              <w:rPr>
                <w:bCs/>
              </w:rPr>
              <w:t>sepsis</w:t>
            </w:r>
          </w:p>
        </w:tc>
      </w:tr>
      <w:tr w:rsidR="005E23E7" w:rsidRPr="00CE3E82" w14:paraId="51802BE2" w14:textId="77777777" w:rsidTr="005C69AB">
        <w:tc>
          <w:tcPr>
            <w:tcW w:w="1795" w:type="dxa"/>
          </w:tcPr>
          <w:p w14:paraId="7B4B4E7F" w14:textId="3D2063E7" w:rsidR="005E23E7" w:rsidRPr="00CE3E82" w:rsidRDefault="005E23E7" w:rsidP="000240B3">
            <w:pPr>
              <w:rPr>
                <w:bCs/>
              </w:rPr>
            </w:pPr>
            <w:r>
              <w:rPr>
                <w:bCs/>
              </w:rPr>
              <w:t>A41.9</w:t>
            </w:r>
          </w:p>
        </w:tc>
        <w:tc>
          <w:tcPr>
            <w:tcW w:w="7129" w:type="dxa"/>
          </w:tcPr>
          <w:p w14:paraId="130F6AC8" w14:textId="76937EE7" w:rsidR="005E23E7" w:rsidRPr="00CE3E82" w:rsidRDefault="005E23E7" w:rsidP="000240B3">
            <w:pPr>
              <w:rPr>
                <w:bCs/>
              </w:rPr>
            </w:pPr>
            <w:r w:rsidRPr="005E23E7">
              <w:rPr>
                <w:bCs/>
              </w:rPr>
              <w:t>Sepsis, unspecified organism</w:t>
            </w:r>
          </w:p>
        </w:tc>
      </w:tr>
      <w:tr w:rsidR="00CE3E82" w:rsidRPr="00CE3E82" w14:paraId="3CDF49FB" w14:textId="77777777" w:rsidTr="005C69AB">
        <w:tc>
          <w:tcPr>
            <w:tcW w:w="1795" w:type="dxa"/>
          </w:tcPr>
          <w:p w14:paraId="0A097A44" w14:textId="77777777" w:rsidR="00E60B32" w:rsidRPr="00CE3E82" w:rsidRDefault="00E60B32" w:rsidP="000240B3">
            <w:pPr>
              <w:rPr>
                <w:bCs/>
              </w:rPr>
            </w:pPr>
            <w:r w:rsidRPr="00CE3E82">
              <w:rPr>
                <w:bCs/>
              </w:rPr>
              <w:t>K50.00-K52.9</w:t>
            </w:r>
          </w:p>
        </w:tc>
        <w:tc>
          <w:tcPr>
            <w:tcW w:w="7129" w:type="dxa"/>
          </w:tcPr>
          <w:p w14:paraId="28A429AB" w14:textId="71EAD4E0" w:rsidR="00E60B32" w:rsidRPr="00CE3E82" w:rsidRDefault="00E60B32" w:rsidP="000240B3">
            <w:pPr>
              <w:rPr>
                <w:bCs/>
              </w:rPr>
            </w:pPr>
            <w:r w:rsidRPr="00CE3E82">
              <w:rPr>
                <w:bCs/>
              </w:rPr>
              <w:t>Non</w:t>
            </w:r>
            <w:r w:rsidR="00CE3E82" w:rsidRPr="00CE3E82">
              <w:rPr>
                <w:bCs/>
              </w:rPr>
              <w:t>-</w:t>
            </w:r>
            <w:r w:rsidRPr="00CE3E82">
              <w:rPr>
                <w:bCs/>
              </w:rPr>
              <w:t xml:space="preserve">infective colitis and enteritis </w:t>
            </w:r>
          </w:p>
        </w:tc>
      </w:tr>
      <w:tr w:rsidR="00CE3E82" w:rsidRPr="00CE3E82" w14:paraId="3A048DA2" w14:textId="77777777" w:rsidTr="005C69AB">
        <w:tc>
          <w:tcPr>
            <w:tcW w:w="1795" w:type="dxa"/>
          </w:tcPr>
          <w:p w14:paraId="5D25F940" w14:textId="02BF7438" w:rsidR="00E60B32" w:rsidRPr="00CE3E82" w:rsidRDefault="00E60B32" w:rsidP="00D60D82">
            <w:pPr>
              <w:rPr>
                <w:bCs/>
              </w:rPr>
            </w:pPr>
            <w:r w:rsidRPr="00CE3E82">
              <w:rPr>
                <w:bCs/>
              </w:rPr>
              <w:t>K55.0</w:t>
            </w:r>
            <w:r w:rsidR="005E23E7">
              <w:rPr>
                <w:bCs/>
              </w:rPr>
              <w:t>11</w:t>
            </w:r>
            <w:r w:rsidRPr="00CE3E82">
              <w:rPr>
                <w:bCs/>
              </w:rPr>
              <w:t>-</w:t>
            </w:r>
            <w:r w:rsidR="00D60D82">
              <w:rPr>
                <w:bCs/>
              </w:rPr>
              <w:t>K55.9</w:t>
            </w:r>
          </w:p>
        </w:tc>
        <w:tc>
          <w:tcPr>
            <w:tcW w:w="7129" w:type="dxa"/>
          </w:tcPr>
          <w:p w14:paraId="14D7E8A4" w14:textId="10B3C526" w:rsidR="00E60B32" w:rsidRPr="00CE3E82" w:rsidRDefault="00E60B32" w:rsidP="00D60D82">
            <w:pPr>
              <w:rPr>
                <w:bCs/>
              </w:rPr>
            </w:pPr>
            <w:r w:rsidRPr="00CE3E82">
              <w:rPr>
                <w:bCs/>
              </w:rPr>
              <w:t>Vascular disorders of intestine</w:t>
            </w:r>
          </w:p>
        </w:tc>
      </w:tr>
      <w:tr w:rsidR="00D60D82" w:rsidRPr="00CE3E82" w14:paraId="62FB6A23" w14:textId="77777777" w:rsidTr="005C69AB">
        <w:tc>
          <w:tcPr>
            <w:tcW w:w="1795" w:type="dxa"/>
          </w:tcPr>
          <w:p w14:paraId="4C174EAE" w14:textId="09C07F79" w:rsidR="00D60D82" w:rsidRPr="00CE3E82" w:rsidRDefault="00D60D82" w:rsidP="000240B3">
            <w:pPr>
              <w:rPr>
                <w:bCs/>
              </w:rPr>
            </w:pPr>
            <w:r>
              <w:rPr>
                <w:bCs/>
              </w:rPr>
              <w:t>K56.0-K56.7</w:t>
            </w:r>
          </w:p>
        </w:tc>
        <w:tc>
          <w:tcPr>
            <w:tcW w:w="7129" w:type="dxa"/>
          </w:tcPr>
          <w:p w14:paraId="35323A82" w14:textId="61F0AC29" w:rsidR="00D60D82" w:rsidRPr="00CE3E82" w:rsidDel="00D60D82" w:rsidRDefault="00D60D82" w:rsidP="000240B3">
            <w:pPr>
              <w:rPr>
                <w:bCs/>
              </w:rPr>
            </w:pPr>
            <w:r w:rsidRPr="00D60D82">
              <w:rPr>
                <w:bCs/>
              </w:rPr>
              <w:t>Paralytic ileus and intestinal obstruction without hernia</w:t>
            </w:r>
          </w:p>
        </w:tc>
      </w:tr>
      <w:tr w:rsidR="00CE3E82" w:rsidRPr="00CE3E82" w14:paraId="59E70305" w14:textId="77777777" w:rsidTr="005C69AB">
        <w:tc>
          <w:tcPr>
            <w:tcW w:w="1795" w:type="dxa"/>
          </w:tcPr>
          <w:p w14:paraId="5BBA4037" w14:textId="77777777" w:rsidR="00E60B32" w:rsidRPr="00CE3E82" w:rsidRDefault="00E60B32" w:rsidP="000240B3">
            <w:pPr>
              <w:rPr>
                <w:bCs/>
              </w:rPr>
            </w:pPr>
            <w:r w:rsidRPr="00CE3E82">
              <w:rPr>
                <w:bCs/>
              </w:rPr>
              <w:t>K70.0-K77</w:t>
            </w:r>
          </w:p>
        </w:tc>
        <w:tc>
          <w:tcPr>
            <w:tcW w:w="7129" w:type="dxa"/>
          </w:tcPr>
          <w:p w14:paraId="133E58F2" w14:textId="77777777" w:rsidR="00E60B32" w:rsidRPr="00CE3E82" w:rsidRDefault="00E60B32" w:rsidP="000240B3">
            <w:pPr>
              <w:rPr>
                <w:bCs/>
              </w:rPr>
            </w:pPr>
            <w:r w:rsidRPr="00CE3E82">
              <w:rPr>
                <w:bCs/>
              </w:rPr>
              <w:t>Diseases of liver</w:t>
            </w:r>
          </w:p>
        </w:tc>
      </w:tr>
      <w:tr w:rsidR="00CE3E82" w:rsidRPr="00CE3E82" w14:paraId="623C1DAD" w14:textId="77777777" w:rsidTr="005C69AB">
        <w:tc>
          <w:tcPr>
            <w:tcW w:w="1795" w:type="dxa"/>
          </w:tcPr>
          <w:p w14:paraId="0E6BBF1F" w14:textId="77777777" w:rsidR="00E60B32" w:rsidRPr="00CE3E82" w:rsidRDefault="00E60B32" w:rsidP="000240B3">
            <w:pPr>
              <w:rPr>
                <w:bCs/>
              </w:rPr>
            </w:pPr>
            <w:r w:rsidRPr="00CE3E82">
              <w:rPr>
                <w:bCs/>
              </w:rPr>
              <w:t>P76.8</w:t>
            </w:r>
            <w:r w:rsidRPr="00CE3E82">
              <w:rPr>
                <w:bCs/>
              </w:rPr>
              <w:tab/>
            </w:r>
          </w:p>
        </w:tc>
        <w:tc>
          <w:tcPr>
            <w:tcW w:w="7129" w:type="dxa"/>
          </w:tcPr>
          <w:p w14:paraId="568FB5BE" w14:textId="77777777" w:rsidR="00E60B32" w:rsidRPr="00CE3E82" w:rsidRDefault="00E60B32" w:rsidP="000240B3">
            <w:pPr>
              <w:rPr>
                <w:bCs/>
              </w:rPr>
            </w:pPr>
            <w:r w:rsidRPr="00CE3E82">
              <w:rPr>
                <w:bCs/>
              </w:rPr>
              <w:t>Other specified intestinal obstruction of newborn</w:t>
            </w:r>
          </w:p>
        </w:tc>
      </w:tr>
      <w:tr w:rsidR="00CE3E82" w:rsidRPr="00CE3E82" w14:paraId="1C12517B" w14:textId="77777777" w:rsidTr="005C69AB">
        <w:tc>
          <w:tcPr>
            <w:tcW w:w="1795" w:type="dxa"/>
          </w:tcPr>
          <w:p w14:paraId="374B6604" w14:textId="77777777" w:rsidR="00E60B32" w:rsidRPr="00CE3E82" w:rsidRDefault="00E60B32" w:rsidP="000240B3">
            <w:pPr>
              <w:rPr>
                <w:bCs/>
              </w:rPr>
            </w:pPr>
            <w:r w:rsidRPr="00CE3E82">
              <w:rPr>
                <w:bCs/>
              </w:rPr>
              <w:t>P77.1-P77.9</w:t>
            </w:r>
          </w:p>
        </w:tc>
        <w:tc>
          <w:tcPr>
            <w:tcW w:w="7129" w:type="dxa"/>
          </w:tcPr>
          <w:p w14:paraId="62957E12" w14:textId="77777777" w:rsidR="00E60B32" w:rsidRPr="00CE3E82" w:rsidRDefault="00E60B32" w:rsidP="000240B3">
            <w:pPr>
              <w:rPr>
                <w:bCs/>
              </w:rPr>
            </w:pPr>
            <w:r w:rsidRPr="00CE3E82">
              <w:rPr>
                <w:bCs/>
              </w:rPr>
              <w:t xml:space="preserve">Necrotizing </w:t>
            </w:r>
            <w:proofErr w:type="spellStart"/>
            <w:r w:rsidRPr="00CE3E82">
              <w:rPr>
                <w:bCs/>
              </w:rPr>
              <w:t>enterocolitis</w:t>
            </w:r>
            <w:proofErr w:type="spellEnd"/>
            <w:r w:rsidRPr="00CE3E82">
              <w:rPr>
                <w:bCs/>
              </w:rPr>
              <w:t xml:space="preserve"> of newborn</w:t>
            </w:r>
          </w:p>
        </w:tc>
      </w:tr>
      <w:tr w:rsidR="00CE3E82" w:rsidRPr="00CE3E82" w14:paraId="7D43DD0F" w14:textId="77777777" w:rsidTr="005C69AB">
        <w:tc>
          <w:tcPr>
            <w:tcW w:w="1795" w:type="dxa"/>
          </w:tcPr>
          <w:p w14:paraId="05CCA677" w14:textId="77777777" w:rsidR="00E60B32" w:rsidRPr="00CE3E82" w:rsidRDefault="00E60B32" w:rsidP="000240B3">
            <w:pPr>
              <w:rPr>
                <w:bCs/>
              </w:rPr>
            </w:pPr>
            <w:r w:rsidRPr="00CE3E82">
              <w:rPr>
                <w:lang w:val="fr-FR"/>
              </w:rPr>
              <w:t xml:space="preserve">Q41.0-Q41.9 </w:t>
            </w:r>
          </w:p>
        </w:tc>
        <w:tc>
          <w:tcPr>
            <w:tcW w:w="7129" w:type="dxa"/>
          </w:tcPr>
          <w:p w14:paraId="171AE159" w14:textId="14F31036" w:rsidR="00E60B32" w:rsidRPr="00CE3E82" w:rsidRDefault="00E60B32" w:rsidP="000240B3">
            <w:pPr>
              <w:rPr>
                <w:bCs/>
              </w:rPr>
            </w:pPr>
            <w:r w:rsidRPr="00CE3E82">
              <w:t xml:space="preserve">Congenital </w:t>
            </w:r>
            <w:r w:rsidR="00CE3E82" w:rsidRPr="00CE3E82">
              <w:t>absence</w:t>
            </w:r>
            <w:r w:rsidRPr="00CE3E82">
              <w:t>, atresia an</w:t>
            </w:r>
            <w:r w:rsidR="003C4D63">
              <w:t>d</w:t>
            </w:r>
            <w:r w:rsidRPr="00CE3E82">
              <w:t xml:space="preserve"> stenosis of small intestine </w:t>
            </w:r>
          </w:p>
        </w:tc>
      </w:tr>
      <w:tr w:rsidR="00CE3E82" w:rsidRPr="00CE3E82" w14:paraId="1FFAC1BD" w14:textId="77777777" w:rsidTr="005C69AB">
        <w:trPr>
          <w:trHeight w:val="287"/>
        </w:trPr>
        <w:tc>
          <w:tcPr>
            <w:tcW w:w="1795" w:type="dxa"/>
          </w:tcPr>
          <w:p w14:paraId="2F847E76" w14:textId="7059C3ED" w:rsidR="00E60B32" w:rsidRPr="00CE3E82" w:rsidRDefault="005C69AB" w:rsidP="000240B3">
            <w:pPr>
              <w:rPr>
                <w:bCs/>
              </w:rPr>
            </w:pPr>
            <w:r>
              <w:rPr>
                <w:bCs/>
              </w:rPr>
              <w:t>R65.20-R65.21</w:t>
            </w:r>
          </w:p>
        </w:tc>
        <w:tc>
          <w:tcPr>
            <w:tcW w:w="7129" w:type="dxa"/>
          </w:tcPr>
          <w:p w14:paraId="08F45202" w14:textId="77777777" w:rsidR="00E60B32" w:rsidRPr="00CE3E82" w:rsidRDefault="00E60B32" w:rsidP="000240B3">
            <w:pPr>
              <w:rPr>
                <w:bCs/>
              </w:rPr>
            </w:pPr>
            <w:r w:rsidRPr="00CE3E82">
              <w:rPr>
                <w:bCs/>
              </w:rPr>
              <w:t>Severe sepsis</w:t>
            </w:r>
          </w:p>
        </w:tc>
      </w:tr>
      <w:tr w:rsidR="00CE3E82" w:rsidRPr="00CE3E82" w14:paraId="533BCEB7" w14:textId="77777777" w:rsidTr="005C69AB">
        <w:tc>
          <w:tcPr>
            <w:tcW w:w="1795" w:type="dxa"/>
          </w:tcPr>
          <w:p w14:paraId="4CBCF60E" w14:textId="06A2B969" w:rsidR="00E60B32" w:rsidRPr="005C69AB" w:rsidRDefault="005C69AB" w:rsidP="005C69AB">
            <w:pPr>
              <w:tabs>
                <w:tab w:val="left" w:pos="810"/>
                <w:tab w:val="left" w:pos="1800"/>
              </w:tabs>
              <w:ind w:left="1800" w:hanging="1800"/>
              <w:rPr>
                <w:lang w:val="fr-FR"/>
              </w:rPr>
            </w:pPr>
            <w:r>
              <w:rPr>
                <w:lang w:val="fr-FR"/>
              </w:rPr>
              <w:t>S35.299(A/D/S)</w:t>
            </w:r>
          </w:p>
        </w:tc>
        <w:tc>
          <w:tcPr>
            <w:tcW w:w="7129" w:type="dxa"/>
          </w:tcPr>
          <w:p w14:paraId="083867B5" w14:textId="77777777" w:rsidR="00E60B32" w:rsidRPr="00CE3E82" w:rsidRDefault="00E60B32" w:rsidP="00206142">
            <w:pPr>
              <w:tabs>
                <w:tab w:val="left" w:pos="810"/>
              </w:tabs>
              <w:ind w:left="1800" w:hanging="1800"/>
            </w:pPr>
            <w:r w:rsidRPr="00CE3E82">
              <w:t xml:space="preserve">Unspecified injury of branches of celiac and mesenteric artery, initial, </w:t>
            </w:r>
          </w:p>
          <w:p w14:paraId="76EF3E74" w14:textId="66AC0FE6" w:rsidR="00E60B32" w:rsidRPr="00CE3E82" w:rsidRDefault="00E60B32" w:rsidP="000240B3">
            <w:pPr>
              <w:rPr>
                <w:bCs/>
              </w:rPr>
            </w:pPr>
            <w:r w:rsidRPr="00CE3E82">
              <w:t xml:space="preserve">subsequent encounter and </w:t>
            </w:r>
            <w:r w:rsidR="00CE3E82" w:rsidRPr="00CE3E82">
              <w:t>sequela</w:t>
            </w:r>
            <w:r w:rsidRPr="00CE3E82">
              <w:t xml:space="preserve"> </w:t>
            </w:r>
          </w:p>
        </w:tc>
      </w:tr>
      <w:tr w:rsidR="00CE3E82" w:rsidRPr="00CE3E82" w14:paraId="4E24FE8C" w14:textId="77777777" w:rsidTr="005C69AB">
        <w:tc>
          <w:tcPr>
            <w:tcW w:w="1795" w:type="dxa"/>
          </w:tcPr>
          <w:p w14:paraId="387635F2" w14:textId="77777777" w:rsidR="00E60B32" w:rsidRPr="00CE3E82" w:rsidRDefault="00E60B32" w:rsidP="001405C2">
            <w:pPr>
              <w:rPr>
                <w:bCs/>
              </w:rPr>
            </w:pPr>
            <w:r w:rsidRPr="00CE3E82">
              <w:rPr>
                <w:bCs/>
              </w:rPr>
              <w:t>T86.850-</w:t>
            </w:r>
          </w:p>
          <w:p w14:paraId="2A005B3C" w14:textId="77777777" w:rsidR="00E60B32" w:rsidRPr="00CE3E82" w:rsidRDefault="00E60B32" w:rsidP="001405C2">
            <w:pPr>
              <w:rPr>
                <w:bCs/>
              </w:rPr>
            </w:pPr>
            <w:r w:rsidRPr="00CE3E82">
              <w:rPr>
                <w:bCs/>
              </w:rPr>
              <w:t>T86.859</w:t>
            </w:r>
          </w:p>
        </w:tc>
        <w:tc>
          <w:tcPr>
            <w:tcW w:w="7129" w:type="dxa"/>
          </w:tcPr>
          <w:p w14:paraId="6AB8C9DC" w14:textId="25FB425E" w:rsidR="00E60B32" w:rsidRPr="00CE3E82" w:rsidRDefault="00E60B32" w:rsidP="001C7449">
            <w:pPr>
              <w:rPr>
                <w:bCs/>
              </w:rPr>
            </w:pPr>
            <w:r w:rsidRPr="00CE3E82">
              <w:rPr>
                <w:bCs/>
              </w:rPr>
              <w:t>Complication of intestine transplant</w:t>
            </w:r>
          </w:p>
        </w:tc>
      </w:tr>
      <w:tr w:rsidR="00CE3E82" w:rsidRPr="00CE3E82" w14:paraId="22B12114" w14:textId="77777777" w:rsidTr="005C69AB">
        <w:tc>
          <w:tcPr>
            <w:tcW w:w="1795" w:type="dxa"/>
          </w:tcPr>
          <w:p w14:paraId="7C4623D6" w14:textId="77777777" w:rsidR="00E60B32" w:rsidRPr="00CE3E82" w:rsidRDefault="00E60B32" w:rsidP="000240B3">
            <w:pPr>
              <w:rPr>
                <w:bCs/>
              </w:rPr>
            </w:pPr>
            <w:r w:rsidRPr="00CE3E82">
              <w:rPr>
                <w:bCs/>
              </w:rPr>
              <w:t>Z94.82</w:t>
            </w:r>
            <w:r w:rsidRPr="00CE3E82">
              <w:rPr>
                <w:bCs/>
              </w:rPr>
              <w:tab/>
              <w:t xml:space="preserve"> </w:t>
            </w:r>
          </w:p>
        </w:tc>
        <w:tc>
          <w:tcPr>
            <w:tcW w:w="7129" w:type="dxa"/>
          </w:tcPr>
          <w:p w14:paraId="29D9C6EC" w14:textId="77777777" w:rsidR="00E60B32" w:rsidRPr="00CE3E82" w:rsidRDefault="00E60B32" w:rsidP="000240B3">
            <w:pPr>
              <w:rPr>
                <w:bCs/>
              </w:rPr>
            </w:pPr>
            <w:r w:rsidRPr="00CE3E82">
              <w:rPr>
                <w:bCs/>
              </w:rPr>
              <w:t xml:space="preserve">Intestine transplant status </w:t>
            </w:r>
          </w:p>
        </w:tc>
      </w:tr>
    </w:tbl>
    <w:p w14:paraId="004ED1D7" w14:textId="77777777" w:rsidR="00E60B32" w:rsidRDefault="00E60B32"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E60B32" w:rsidRPr="00B777AF" w14:paraId="7A0DEAF3" w14:textId="77777777" w:rsidTr="003A0929">
        <w:trPr>
          <w:tblHeader/>
        </w:trPr>
        <w:tc>
          <w:tcPr>
            <w:tcW w:w="7578" w:type="dxa"/>
            <w:tcBorders>
              <w:top w:val="single" w:sz="8" w:space="0" w:color="4F81BD"/>
            </w:tcBorders>
            <w:shd w:val="clear" w:color="auto" w:fill="00548C"/>
          </w:tcPr>
          <w:p w14:paraId="6AD4C2DA" w14:textId="77777777" w:rsidR="00E60B32" w:rsidRPr="003A0929" w:rsidRDefault="00E60B32" w:rsidP="00B777AF">
            <w:pPr>
              <w:rPr>
                <w:b/>
                <w:bCs/>
                <w:color w:val="FFFFFF"/>
              </w:rPr>
            </w:pPr>
            <w:bookmarkStart w:id="2" w:name="Revision_Log"/>
            <w:r w:rsidRPr="003A0929">
              <w:rPr>
                <w:b/>
                <w:color w:val="FFFFFF"/>
              </w:rPr>
              <w:lastRenderedPageBreak/>
              <w:t>Reviews, Revisions, and Approvals</w:t>
            </w:r>
            <w:bookmarkEnd w:id="2"/>
          </w:p>
        </w:tc>
        <w:tc>
          <w:tcPr>
            <w:tcW w:w="810" w:type="dxa"/>
            <w:shd w:val="clear" w:color="auto" w:fill="00548C"/>
          </w:tcPr>
          <w:p w14:paraId="7F44034E" w14:textId="77777777" w:rsidR="00E60B32" w:rsidRPr="003A0929" w:rsidRDefault="00E60B32" w:rsidP="003A0929">
            <w:pPr>
              <w:jc w:val="center"/>
              <w:rPr>
                <w:b/>
                <w:bCs/>
                <w:color w:val="FFFFFF"/>
              </w:rPr>
            </w:pPr>
            <w:r w:rsidRPr="003A0929">
              <w:rPr>
                <w:b/>
                <w:color w:val="FFFFFF"/>
              </w:rPr>
              <w:t>Date</w:t>
            </w:r>
          </w:p>
        </w:tc>
        <w:tc>
          <w:tcPr>
            <w:tcW w:w="1260" w:type="dxa"/>
            <w:tcBorders>
              <w:top w:val="single" w:sz="8" w:space="0" w:color="4F81BD"/>
            </w:tcBorders>
            <w:shd w:val="clear" w:color="auto" w:fill="00548C"/>
          </w:tcPr>
          <w:p w14:paraId="6F3FB4F4" w14:textId="77777777" w:rsidR="00E60B32" w:rsidRPr="003A0929" w:rsidRDefault="00E60B32" w:rsidP="003A0929">
            <w:pPr>
              <w:jc w:val="center"/>
              <w:rPr>
                <w:b/>
                <w:bCs/>
                <w:color w:val="FFFFFF"/>
              </w:rPr>
            </w:pPr>
            <w:r w:rsidRPr="003A0929">
              <w:rPr>
                <w:b/>
                <w:color w:val="FFFFFF"/>
              </w:rPr>
              <w:t>Approval Date</w:t>
            </w:r>
          </w:p>
        </w:tc>
      </w:tr>
      <w:tr w:rsidR="00E60B32" w14:paraId="178B27BA" w14:textId="77777777" w:rsidTr="003A0929">
        <w:tc>
          <w:tcPr>
            <w:tcW w:w="7578" w:type="dxa"/>
          </w:tcPr>
          <w:p w14:paraId="02FB654A" w14:textId="77777777" w:rsidR="00E60B32" w:rsidRDefault="00E60B32" w:rsidP="003A0929">
            <w:pPr>
              <w:tabs>
                <w:tab w:val="num" w:pos="720"/>
              </w:tabs>
            </w:pPr>
            <w:r>
              <w:t>Policy developed</w:t>
            </w:r>
          </w:p>
          <w:p w14:paraId="016988DA" w14:textId="77777777" w:rsidR="00E60B32" w:rsidRDefault="00E60B32" w:rsidP="003A0929">
            <w:pPr>
              <w:tabs>
                <w:tab w:val="num" w:pos="720"/>
              </w:tabs>
            </w:pPr>
            <w:r>
              <w:t>Specialist review (Surgical Transplant)</w:t>
            </w:r>
          </w:p>
        </w:tc>
        <w:tc>
          <w:tcPr>
            <w:tcW w:w="810" w:type="dxa"/>
          </w:tcPr>
          <w:p w14:paraId="48B3B2D1" w14:textId="77777777" w:rsidR="00E60B32" w:rsidRDefault="00E60B32" w:rsidP="003A0929">
            <w:pPr>
              <w:jc w:val="center"/>
            </w:pPr>
            <w:r>
              <w:t>02/14</w:t>
            </w:r>
          </w:p>
        </w:tc>
        <w:tc>
          <w:tcPr>
            <w:tcW w:w="1260" w:type="dxa"/>
          </w:tcPr>
          <w:p w14:paraId="30DFDF6D" w14:textId="77777777" w:rsidR="00E60B32" w:rsidRDefault="00E60B32" w:rsidP="003A0929">
            <w:pPr>
              <w:jc w:val="center"/>
            </w:pPr>
            <w:r>
              <w:t>02/14</w:t>
            </w:r>
          </w:p>
        </w:tc>
      </w:tr>
      <w:tr w:rsidR="00E60B32" w14:paraId="29448713" w14:textId="77777777" w:rsidTr="003A0929">
        <w:tc>
          <w:tcPr>
            <w:tcW w:w="7578" w:type="dxa"/>
            <w:tcBorders>
              <w:left w:val="single" w:sz="8" w:space="0" w:color="4F81BD"/>
              <w:right w:val="single" w:sz="8" w:space="0" w:color="4F81BD"/>
            </w:tcBorders>
          </w:tcPr>
          <w:p w14:paraId="507FB6DA" w14:textId="77777777" w:rsidR="00E60B32" w:rsidRDefault="00E60B32" w:rsidP="003A0929">
            <w:pPr>
              <w:tabs>
                <w:tab w:val="num" w:pos="720"/>
              </w:tabs>
            </w:pPr>
            <w:r>
              <w:t>References reviewed and updated</w:t>
            </w:r>
          </w:p>
          <w:p w14:paraId="4E96B072" w14:textId="77777777" w:rsidR="00E60B32" w:rsidRDefault="00E60B32" w:rsidP="003A0929">
            <w:pPr>
              <w:tabs>
                <w:tab w:val="num" w:pos="720"/>
              </w:tabs>
            </w:pPr>
            <w:r>
              <w:t>Formatting and template updated</w:t>
            </w:r>
          </w:p>
        </w:tc>
        <w:tc>
          <w:tcPr>
            <w:tcW w:w="810" w:type="dxa"/>
          </w:tcPr>
          <w:p w14:paraId="05FBEACC" w14:textId="77777777" w:rsidR="00E60B32" w:rsidRDefault="00E60B32" w:rsidP="003A0929">
            <w:pPr>
              <w:jc w:val="center"/>
            </w:pPr>
            <w:r>
              <w:t>02/15</w:t>
            </w:r>
          </w:p>
        </w:tc>
        <w:tc>
          <w:tcPr>
            <w:tcW w:w="1260" w:type="dxa"/>
            <w:tcBorders>
              <w:left w:val="single" w:sz="8" w:space="0" w:color="4F81BD"/>
              <w:right w:val="single" w:sz="8" w:space="0" w:color="4F81BD"/>
            </w:tcBorders>
          </w:tcPr>
          <w:p w14:paraId="2C6B3E5F" w14:textId="77777777" w:rsidR="00E60B32" w:rsidRDefault="00E60B32" w:rsidP="003A0929">
            <w:pPr>
              <w:jc w:val="center"/>
            </w:pPr>
            <w:r>
              <w:t>02/15</w:t>
            </w:r>
          </w:p>
        </w:tc>
      </w:tr>
      <w:tr w:rsidR="00CE3E82" w:rsidRPr="00CE3E82" w14:paraId="5A4C412B" w14:textId="77777777" w:rsidTr="003A0929">
        <w:tc>
          <w:tcPr>
            <w:tcW w:w="7578" w:type="dxa"/>
            <w:tcBorders>
              <w:top w:val="single" w:sz="8" w:space="0" w:color="4F81BD"/>
              <w:left w:val="single" w:sz="8" w:space="0" w:color="4F81BD"/>
              <w:bottom w:val="single" w:sz="8" w:space="0" w:color="4F81BD"/>
              <w:right w:val="single" w:sz="8" w:space="0" w:color="4F81BD"/>
            </w:tcBorders>
          </w:tcPr>
          <w:p w14:paraId="44FE9F19" w14:textId="77777777" w:rsidR="00E60B32" w:rsidRPr="00CE3E82" w:rsidRDefault="00E60B32" w:rsidP="003A0929">
            <w:pPr>
              <w:tabs>
                <w:tab w:val="num" w:pos="720"/>
              </w:tabs>
            </w:pPr>
            <w:r w:rsidRPr="00CE3E82">
              <w:t>Minor language updates for clarification</w:t>
            </w:r>
          </w:p>
          <w:p w14:paraId="772A4896" w14:textId="77777777" w:rsidR="00E60B32" w:rsidRPr="00CE3E82" w:rsidRDefault="00E60B32" w:rsidP="003A0929">
            <w:pPr>
              <w:tabs>
                <w:tab w:val="num" w:pos="720"/>
              </w:tabs>
            </w:pPr>
            <w:r w:rsidRPr="00CE3E82">
              <w:t>References reviewed and updated</w:t>
            </w:r>
          </w:p>
          <w:p w14:paraId="2C2F9FC6" w14:textId="77777777" w:rsidR="00E60B32" w:rsidRPr="00CE3E82" w:rsidRDefault="00E60B32" w:rsidP="003A0929">
            <w:pPr>
              <w:tabs>
                <w:tab w:val="num" w:pos="720"/>
              </w:tabs>
            </w:pPr>
            <w:r w:rsidRPr="00CE3E82">
              <w:t>Formatting and template updated</w:t>
            </w:r>
          </w:p>
        </w:tc>
        <w:tc>
          <w:tcPr>
            <w:tcW w:w="810" w:type="dxa"/>
            <w:tcBorders>
              <w:top w:val="single" w:sz="8" w:space="0" w:color="4F81BD"/>
              <w:bottom w:val="single" w:sz="8" w:space="0" w:color="4F81BD"/>
            </w:tcBorders>
          </w:tcPr>
          <w:p w14:paraId="3A113D61" w14:textId="77777777" w:rsidR="00E60B32" w:rsidRPr="00CE3E82" w:rsidRDefault="00E60B32" w:rsidP="003A0929">
            <w:pPr>
              <w:jc w:val="center"/>
            </w:pPr>
            <w:r w:rsidRPr="00CE3E82">
              <w:t>02/16</w:t>
            </w:r>
          </w:p>
        </w:tc>
        <w:tc>
          <w:tcPr>
            <w:tcW w:w="1260" w:type="dxa"/>
            <w:tcBorders>
              <w:top w:val="single" w:sz="8" w:space="0" w:color="4F81BD"/>
              <w:left w:val="single" w:sz="8" w:space="0" w:color="4F81BD"/>
              <w:bottom w:val="single" w:sz="8" w:space="0" w:color="4F81BD"/>
              <w:right w:val="single" w:sz="8" w:space="0" w:color="4F81BD"/>
            </w:tcBorders>
          </w:tcPr>
          <w:p w14:paraId="426C92E5" w14:textId="77777777" w:rsidR="00E60B32" w:rsidRPr="00CE3E82" w:rsidRDefault="00E60B32" w:rsidP="003A0929">
            <w:pPr>
              <w:jc w:val="center"/>
            </w:pPr>
            <w:r w:rsidRPr="00CE3E82">
              <w:t>02/16</w:t>
            </w:r>
          </w:p>
        </w:tc>
      </w:tr>
      <w:tr w:rsidR="00E60B32" w:rsidRPr="00CE3E82" w14:paraId="18AA1C03" w14:textId="77777777" w:rsidTr="003A0929">
        <w:tc>
          <w:tcPr>
            <w:tcW w:w="7578" w:type="dxa"/>
            <w:tcBorders>
              <w:top w:val="single" w:sz="8" w:space="0" w:color="4F81BD"/>
              <w:left w:val="single" w:sz="8" w:space="0" w:color="4F81BD"/>
              <w:bottom w:val="single" w:sz="8" w:space="0" w:color="4F81BD"/>
              <w:right w:val="single" w:sz="8" w:space="0" w:color="4F81BD"/>
            </w:tcBorders>
          </w:tcPr>
          <w:p w14:paraId="3A6CF0A1" w14:textId="40BC8CFD" w:rsidR="00E60B32" w:rsidRPr="00CE3E82" w:rsidRDefault="00CE3E82" w:rsidP="00215844">
            <w:pPr>
              <w:tabs>
                <w:tab w:val="num" w:pos="720"/>
              </w:tabs>
            </w:pPr>
            <w:r w:rsidRPr="00CE3E82">
              <w:t>Consolidated criteria from</w:t>
            </w:r>
            <w:r w:rsidR="00E60B32" w:rsidRPr="00CE3E82">
              <w:t xml:space="preserve"> HN policy. </w:t>
            </w:r>
            <w:r w:rsidR="00215844">
              <w:t xml:space="preserve">Edited contraindications to be more consistent across transplant policies: Changed substance abuse to substance abuse or dependence, and added option for blood/urine testing if needed; added bleeding diatheses; reworded other contraindications for clarity.  </w:t>
            </w:r>
            <w:r w:rsidR="00E60B32" w:rsidRPr="00CE3E82">
              <w:t xml:space="preserve">Added ICD-10 Codes. Added additional CPT and HCPCS codes. </w:t>
            </w:r>
          </w:p>
        </w:tc>
        <w:tc>
          <w:tcPr>
            <w:tcW w:w="810" w:type="dxa"/>
            <w:tcBorders>
              <w:top w:val="single" w:sz="8" w:space="0" w:color="4F81BD"/>
              <w:bottom w:val="single" w:sz="8" w:space="0" w:color="4F81BD"/>
            </w:tcBorders>
          </w:tcPr>
          <w:p w14:paraId="00581A72" w14:textId="77777777" w:rsidR="00E60B32" w:rsidRPr="00CE3E82" w:rsidRDefault="00E60B32" w:rsidP="003A0929">
            <w:pPr>
              <w:jc w:val="center"/>
            </w:pPr>
            <w:r w:rsidRPr="00CE3E82">
              <w:t>8/16</w:t>
            </w:r>
          </w:p>
        </w:tc>
        <w:tc>
          <w:tcPr>
            <w:tcW w:w="1260" w:type="dxa"/>
            <w:tcBorders>
              <w:top w:val="single" w:sz="8" w:space="0" w:color="4F81BD"/>
              <w:left w:val="single" w:sz="8" w:space="0" w:color="4F81BD"/>
              <w:bottom w:val="single" w:sz="8" w:space="0" w:color="4F81BD"/>
              <w:right w:val="single" w:sz="8" w:space="0" w:color="4F81BD"/>
            </w:tcBorders>
          </w:tcPr>
          <w:p w14:paraId="4EFB459B" w14:textId="322EB5D6" w:rsidR="00E60B32" w:rsidRPr="00CE3E82" w:rsidRDefault="007D565B" w:rsidP="003A0929">
            <w:pPr>
              <w:jc w:val="center"/>
            </w:pPr>
            <w:r>
              <w:t>09/16</w:t>
            </w:r>
          </w:p>
        </w:tc>
      </w:tr>
      <w:tr w:rsidR="003D093C" w:rsidRPr="00CE3E82" w14:paraId="1CEF21D1" w14:textId="77777777" w:rsidTr="003A0929">
        <w:tc>
          <w:tcPr>
            <w:tcW w:w="7578" w:type="dxa"/>
            <w:tcBorders>
              <w:top w:val="single" w:sz="8" w:space="0" w:color="4F81BD"/>
              <w:left w:val="single" w:sz="8" w:space="0" w:color="4F81BD"/>
              <w:bottom w:val="single" w:sz="8" w:space="0" w:color="4F81BD"/>
              <w:right w:val="single" w:sz="8" w:space="0" w:color="4F81BD"/>
            </w:tcBorders>
          </w:tcPr>
          <w:p w14:paraId="659FBDB1" w14:textId="650A1A2F" w:rsidR="003D093C" w:rsidRPr="00CE3E82" w:rsidRDefault="003D093C" w:rsidP="00215844">
            <w:pPr>
              <w:tabs>
                <w:tab w:val="num" w:pos="720"/>
              </w:tabs>
            </w:pPr>
            <w:r>
              <w:t xml:space="preserve">References reviewed and updated. Some re-wording for clarity. </w:t>
            </w:r>
          </w:p>
        </w:tc>
        <w:tc>
          <w:tcPr>
            <w:tcW w:w="810" w:type="dxa"/>
            <w:tcBorders>
              <w:top w:val="single" w:sz="8" w:space="0" w:color="4F81BD"/>
              <w:bottom w:val="single" w:sz="8" w:space="0" w:color="4F81BD"/>
            </w:tcBorders>
          </w:tcPr>
          <w:p w14:paraId="3C3D2A42" w14:textId="4F9B5FFB" w:rsidR="003D093C" w:rsidRPr="00CE3E82" w:rsidRDefault="003D093C" w:rsidP="003A0929">
            <w:pPr>
              <w:jc w:val="center"/>
            </w:pPr>
            <w:r>
              <w:t>09/17</w:t>
            </w:r>
          </w:p>
        </w:tc>
        <w:tc>
          <w:tcPr>
            <w:tcW w:w="1260" w:type="dxa"/>
            <w:tcBorders>
              <w:top w:val="single" w:sz="8" w:space="0" w:color="4F81BD"/>
              <w:left w:val="single" w:sz="8" w:space="0" w:color="4F81BD"/>
              <w:bottom w:val="single" w:sz="8" w:space="0" w:color="4F81BD"/>
              <w:right w:val="single" w:sz="8" w:space="0" w:color="4F81BD"/>
            </w:tcBorders>
          </w:tcPr>
          <w:p w14:paraId="118B0297" w14:textId="2C4B893E" w:rsidR="003D093C" w:rsidRDefault="004E4907" w:rsidP="003A0929">
            <w:pPr>
              <w:jc w:val="center"/>
            </w:pPr>
            <w:r>
              <w:t>09/17</w:t>
            </w:r>
          </w:p>
        </w:tc>
      </w:tr>
      <w:tr w:rsidR="001C7449" w:rsidRPr="00CE3E82" w14:paraId="5DDF26C2" w14:textId="77777777" w:rsidTr="003A0929">
        <w:tc>
          <w:tcPr>
            <w:tcW w:w="7578" w:type="dxa"/>
            <w:tcBorders>
              <w:top w:val="single" w:sz="8" w:space="0" w:color="4F81BD"/>
              <w:left w:val="single" w:sz="8" w:space="0" w:color="4F81BD"/>
              <w:bottom w:val="single" w:sz="8" w:space="0" w:color="4F81BD"/>
              <w:right w:val="single" w:sz="8" w:space="0" w:color="4F81BD"/>
            </w:tcBorders>
          </w:tcPr>
          <w:p w14:paraId="369B928D" w14:textId="11623DD0" w:rsidR="001C7449" w:rsidRDefault="00CF3392" w:rsidP="00215844">
            <w:pPr>
              <w:tabs>
                <w:tab w:val="num" w:pos="720"/>
              </w:tabs>
            </w:pPr>
            <w:r>
              <w:t>References reviewed and updated.</w:t>
            </w:r>
          </w:p>
        </w:tc>
        <w:tc>
          <w:tcPr>
            <w:tcW w:w="810" w:type="dxa"/>
            <w:tcBorders>
              <w:top w:val="single" w:sz="8" w:space="0" w:color="4F81BD"/>
              <w:bottom w:val="single" w:sz="8" w:space="0" w:color="4F81BD"/>
            </w:tcBorders>
          </w:tcPr>
          <w:p w14:paraId="0951FB40" w14:textId="7F384715" w:rsidR="001C7449" w:rsidRDefault="00282EED" w:rsidP="003A0929">
            <w:pPr>
              <w:jc w:val="center"/>
            </w:pPr>
            <w:r>
              <w:t>06/18</w:t>
            </w:r>
          </w:p>
        </w:tc>
        <w:tc>
          <w:tcPr>
            <w:tcW w:w="1260" w:type="dxa"/>
            <w:tcBorders>
              <w:top w:val="single" w:sz="8" w:space="0" w:color="4F81BD"/>
              <w:left w:val="single" w:sz="8" w:space="0" w:color="4F81BD"/>
              <w:bottom w:val="single" w:sz="8" w:space="0" w:color="4F81BD"/>
              <w:right w:val="single" w:sz="8" w:space="0" w:color="4F81BD"/>
            </w:tcBorders>
          </w:tcPr>
          <w:p w14:paraId="2920796E" w14:textId="755FCD67" w:rsidR="001C7449" w:rsidRDefault="005F639D" w:rsidP="003A0929">
            <w:pPr>
              <w:jc w:val="center"/>
            </w:pPr>
            <w:r>
              <w:t>06/18</w:t>
            </w:r>
          </w:p>
        </w:tc>
      </w:tr>
      <w:tr w:rsidR="003D0D86" w:rsidRPr="00CE3E82" w14:paraId="79F7F562" w14:textId="77777777" w:rsidTr="003A0929">
        <w:tc>
          <w:tcPr>
            <w:tcW w:w="7578" w:type="dxa"/>
            <w:tcBorders>
              <w:top w:val="single" w:sz="8" w:space="0" w:color="4F81BD"/>
              <w:left w:val="single" w:sz="8" w:space="0" w:color="4F81BD"/>
              <w:bottom w:val="single" w:sz="8" w:space="0" w:color="4F81BD"/>
              <w:right w:val="single" w:sz="8" w:space="0" w:color="4F81BD"/>
            </w:tcBorders>
          </w:tcPr>
          <w:p w14:paraId="1028D31C" w14:textId="07651CF0" w:rsidR="003D0D86" w:rsidRDefault="003D0D86" w:rsidP="001C2593">
            <w:pPr>
              <w:tabs>
                <w:tab w:val="num" w:pos="720"/>
              </w:tabs>
            </w:pPr>
            <w:r>
              <w:t>References reviewed and updated.</w:t>
            </w:r>
            <w:r w:rsidR="005B1773">
              <w:t xml:space="preserve"> </w:t>
            </w:r>
            <w:r w:rsidR="00D62661">
              <w:t xml:space="preserve"> </w:t>
            </w:r>
            <w:r w:rsidR="005B1773">
              <w:t xml:space="preserve">Added </w:t>
            </w:r>
            <w:r w:rsidR="00D62661">
              <w:t>CPT</w:t>
            </w:r>
            <w:r w:rsidR="001C2593">
              <w:t>-4</w:t>
            </w:r>
            <w:r w:rsidR="00D62661">
              <w:t xml:space="preserve">7135 </w:t>
            </w:r>
          </w:p>
        </w:tc>
        <w:tc>
          <w:tcPr>
            <w:tcW w:w="810" w:type="dxa"/>
            <w:tcBorders>
              <w:top w:val="single" w:sz="8" w:space="0" w:color="4F81BD"/>
              <w:bottom w:val="single" w:sz="8" w:space="0" w:color="4F81BD"/>
            </w:tcBorders>
          </w:tcPr>
          <w:p w14:paraId="093798DD" w14:textId="252D89F5" w:rsidR="003D0D86" w:rsidRDefault="003D0D86" w:rsidP="003A0929">
            <w:pPr>
              <w:jc w:val="center"/>
            </w:pPr>
            <w:r>
              <w:t>06/19</w:t>
            </w:r>
          </w:p>
        </w:tc>
        <w:tc>
          <w:tcPr>
            <w:tcW w:w="1260" w:type="dxa"/>
            <w:tcBorders>
              <w:top w:val="single" w:sz="8" w:space="0" w:color="4F81BD"/>
              <w:left w:val="single" w:sz="8" w:space="0" w:color="4F81BD"/>
              <w:bottom w:val="single" w:sz="8" w:space="0" w:color="4F81BD"/>
              <w:right w:val="single" w:sz="8" w:space="0" w:color="4F81BD"/>
            </w:tcBorders>
          </w:tcPr>
          <w:p w14:paraId="34F018E6" w14:textId="4D13C73A" w:rsidR="003D0D86" w:rsidRDefault="001C2593" w:rsidP="003A0929">
            <w:pPr>
              <w:jc w:val="center"/>
            </w:pPr>
            <w:r>
              <w:t>06/19</w:t>
            </w:r>
          </w:p>
        </w:tc>
      </w:tr>
    </w:tbl>
    <w:p w14:paraId="510152A4" w14:textId="77777777" w:rsidR="00E60B32" w:rsidRPr="00CE3E82" w:rsidRDefault="00E60B32" w:rsidP="00963062">
      <w:pPr>
        <w:pStyle w:val="Heading3"/>
      </w:pPr>
    </w:p>
    <w:p w14:paraId="3ACC3638" w14:textId="77777777" w:rsidR="00E60B32" w:rsidRPr="00CE3E82" w:rsidRDefault="00E60B32" w:rsidP="00963062">
      <w:pPr>
        <w:pStyle w:val="Heading3"/>
      </w:pPr>
      <w:r w:rsidRPr="00CE3E82">
        <w:t>References</w:t>
      </w:r>
    </w:p>
    <w:p w14:paraId="4748D79D" w14:textId="77777777" w:rsidR="00E60B32" w:rsidRPr="00CE3E82" w:rsidRDefault="00E60B32" w:rsidP="005C3E45">
      <w:pPr>
        <w:numPr>
          <w:ilvl w:val="0"/>
          <w:numId w:val="42"/>
        </w:numPr>
        <w:ind w:left="360"/>
        <w:rPr>
          <w:bCs/>
        </w:rPr>
      </w:pPr>
      <w:r w:rsidRPr="00CE3E82">
        <w:rPr>
          <w:bCs/>
        </w:rPr>
        <w:t xml:space="preserve">American Gastroenterological Association Clinical Practice Committee.  AGA technical review on short bowel syndrome and intestinal transplantation.  </w:t>
      </w:r>
      <w:r w:rsidRPr="00282EED">
        <w:rPr>
          <w:bCs/>
        </w:rPr>
        <w:t>Gastroenterology</w:t>
      </w:r>
      <w:r w:rsidRPr="00D0511B">
        <w:rPr>
          <w:bCs/>
        </w:rPr>
        <w:t xml:space="preserve"> </w:t>
      </w:r>
      <w:r w:rsidRPr="00CE3E82">
        <w:rPr>
          <w:bCs/>
        </w:rPr>
        <w:t xml:space="preserve">2003:124:1111-1134.  </w:t>
      </w:r>
    </w:p>
    <w:p w14:paraId="508470A2" w14:textId="762D970B" w:rsidR="00E60B32" w:rsidRDefault="00E60B32" w:rsidP="005C3E45">
      <w:pPr>
        <w:numPr>
          <w:ilvl w:val="0"/>
          <w:numId w:val="42"/>
        </w:numPr>
        <w:ind w:left="360"/>
        <w:rPr>
          <w:bCs/>
        </w:rPr>
      </w:pPr>
      <w:proofErr w:type="spellStart"/>
      <w:r w:rsidRPr="00CE3E82">
        <w:rPr>
          <w:bCs/>
        </w:rPr>
        <w:t>Bischel</w:t>
      </w:r>
      <w:proofErr w:type="spellEnd"/>
      <w:r w:rsidRPr="00CE3E82">
        <w:rPr>
          <w:bCs/>
        </w:rPr>
        <w:t xml:space="preserve"> MD.  Medical review criteria guidelines for managed care: Intestinal/</w:t>
      </w:r>
      <w:proofErr w:type="spellStart"/>
      <w:r w:rsidRPr="00CE3E82">
        <w:rPr>
          <w:bCs/>
        </w:rPr>
        <w:t>multivisceral</w:t>
      </w:r>
      <w:proofErr w:type="spellEnd"/>
      <w:r w:rsidRPr="00CE3E82">
        <w:rPr>
          <w:bCs/>
        </w:rPr>
        <w:t xml:space="preserve"> transplants. Apollo Managed Care Inc.  </w:t>
      </w:r>
      <w:r w:rsidR="006B5483" w:rsidRPr="00CE3E82">
        <w:rPr>
          <w:bCs/>
        </w:rPr>
        <w:t>Twelfth</w:t>
      </w:r>
      <w:r w:rsidRPr="00CE3E82">
        <w:rPr>
          <w:bCs/>
        </w:rPr>
        <w:t xml:space="preserve"> Edition, 2013.</w:t>
      </w:r>
    </w:p>
    <w:p w14:paraId="15505BF5" w14:textId="3239F455" w:rsidR="003850EF" w:rsidRPr="00CE3E82" w:rsidRDefault="003850EF" w:rsidP="005C3E45">
      <w:pPr>
        <w:numPr>
          <w:ilvl w:val="0"/>
          <w:numId w:val="42"/>
        </w:numPr>
        <w:ind w:left="360"/>
        <w:rPr>
          <w:bCs/>
        </w:rPr>
      </w:pPr>
      <w:r w:rsidRPr="003850EF">
        <w:rPr>
          <w:bCs/>
        </w:rPr>
        <w:t xml:space="preserve">Buchman, Alan L., et al. “Parenteral Nutrition-Associated Liver Disease and the Role for Isolated Intestine and Intestine/Liver Transplantation.” </w:t>
      </w:r>
      <w:proofErr w:type="spellStart"/>
      <w:r w:rsidRPr="00282EED">
        <w:rPr>
          <w:bCs/>
        </w:rPr>
        <w:t>Hepatology</w:t>
      </w:r>
      <w:proofErr w:type="spellEnd"/>
      <w:r w:rsidRPr="003850EF">
        <w:rPr>
          <w:bCs/>
        </w:rPr>
        <w:t xml:space="preserve">, </w:t>
      </w:r>
      <w:r>
        <w:rPr>
          <w:bCs/>
        </w:rPr>
        <w:t>2006:43-1: pp. 9-19.</w:t>
      </w:r>
      <w:r w:rsidRPr="003850EF">
        <w:rPr>
          <w:bCs/>
        </w:rPr>
        <w:t>, doi:10.1002/hep.20997.</w:t>
      </w:r>
    </w:p>
    <w:p w14:paraId="03E1E573" w14:textId="7DEA6077" w:rsidR="00E60B32" w:rsidRPr="00CE3E82" w:rsidRDefault="00E60B32" w:rsidP="005C3E45">
      <w:pPr>
        <w:numPr>
          <w:ilvl w:val="0"/>
          <w:numId w:val="42"/>
        </w:numPr>
        <w:ind w:left="360"/>
        <w:rPr>
          <w:bCs/>
        </w:rPr>
      </w:pPr>
      <w:r w:rsidRPr="00CE3E82">
        <w:rPr>
          <w:bCs/>
        </w:rPr>
        <w:t xml:space="preserve">Centers for Medicare &amp; Medicaid Services.  National </w:t>
      </w:r>
      <w:r w:rsidR="00D0511B">
        <w:rPr>
          <w:bCs/>
        </w:rPr>
        <w:t>C</w:t>
      </w:r>
      <w:r w:rsidRPr="00CE3E82">
        <w:rPr>
          <w:bCs/>
        </w:rPr>
        <w:t xml:space="preserve">overage </w:t>
      </w:r>
      <w:r w:rsidR="00D0511B">
        <w:rPr>
          <w:bCs/>
        </w:rPr>
        <w:t>D</w:t>
      </w:r>
      <w:r w:rsidRPr="00CE3E82">
        <w:rPr>
          <w:bCs/>
        </w:rPr>
        <w:t>etermination (NCD) for intestinal and multi-visceral transplantation.  Effective May 11, 2006.</w:t>
      </w:r>
    </w:p>
    <w:p w14:paraId="0C2C2427" w14:textId="2FA0F7D4" w:rsidR="00E60B32" w:rsidRPr="00CE3E82" w:rsidRDefault="00DA531E" w:rsidP="005C3E45">
      <w:pPr>
        <w:numPr>
          <w:ilvl w:val="0"/>
          <w:numId w:val="42"/>
        </w:numPr>
        <w:ind w:left="360"/>
        <w:rPr>
          <w:bCs/>
        </w:rPr>
      </w:pPr>
      <w:r>
        <w:rPr>
          <w:bCs/>
        </w:rPr>
        <w:t xml:space="preserve">Khan </w:t>
      </w:r>
      <w:r w:rsidR="002C4EC0" w:rsidRPr="00CE3E82">
        <w:rPr>
          <w:bCs/>
        </w:rPr>
        <w:t>F</w:t>
      </w:r>
      <w:r w:rsidR="002C4EC0">
        <w:rPr>
          <w:bCs/>
        </w:rPr>
        <w:t>A</w:t>
      </w:r>
      <w:r w:rsidR="002C4EC0" w:rsidRPr="00CE3E82">
        <w:rPr>
          <w:bCs/>
        </w:rPr>
        <w:t xml:space="preserve"> </w:t>
      </w:r>
      <w:proofErr w:type="spellStart"/>
      <w:r w:rsidR="002C4EC0" w:rsidRPr="00CE3E82">
        <w:rPr>
          <w:bCs/>
        </w:rPr>
        <w:t>Selvaggi</w:t>
      </w:r>
      <w:proofErr w:type="spellEnd"/>
      <w:r w:rsidR="00E60B32" w:rsidRPr="00CE3E82">
        <w:rPr>
          <w:bCs/>
        </w:rPr>
        <w:t xml:space="preserve"> G.  Overview of intestinal and </w:t>
      </w:r>
      <w:proofErr w:type="spellStart"/>
      <w:r w:rsidR="00E60B32" w:rsidRPr="00CE3E82">
        <w:rPr>
          <w:bCs/>
        </w:rPr>
        <w:t>multivisceral</w:t>
      </w:r>
      <w:proofErr w:type="spellEnd"/>
      <w:r w:rsidR="00E60B32" w:rsidRPr="00CE3E82">
        <w:rPr>
          <w:bCs/>
        </w:rPr>
        <w:t xml:space="preserve"> transplantation.  In: </w:t>
      </w:r>
      <w:proofErr w:type="spellStart"/>
      <w:r w:rsidR="00E60B32" w:rsidRPr="00CE3E82">
        <w:rPr>
          <w:bCs/>
        </w:rPr>
        <w:t>UpToDate</w:t>
      </w:r>
      <w:proofErr w:type="spellEnd"/>
      <w:r w:rsidR="00E60B32" w:rsidRPr="00CE3E82">
        <w:rPr>
          <w:bCs/>
        </w:rPr>
        <w:t xml:space="preserve">, Brown RS (Ed), </w:t>
      </w:r>
      <w:proofErr w:type="spellStart"/>
      <w:r w:rsidR="00E60B32" w:rsidRPr="00CE3E82">
        <w:rPr>
          <w:bCs/>
        </w:rPr>
        <w:t>UpToDate</w:t>
      </w:r>
      <w:proofErr w:type="spellEnd"/>
      <w:r w:rsidR="00E60B32" w:rsidRPr="00CE3E82">
        <w:rPr>
          <w:bCs/>
        </w:rPr>
        <w:t xml:space="preserve">, Waltham, MA.  Accessed on </w:t>
      </w:r>
      <w:r w:rsidR="00B87182">
        <w:rPr>
          <w:bCs/>
        </w:rPr>
        <w:t>05/20/19.</w:t>
      </w:r>
    </w:p>
    <w:p w14:paraId="1473A890" w14:textId="7E4DCFCA" w:rsidR="00E60B32" w:rsidRPr="00CE3E82" w:rsidRDefault="00E60B32" w:rsidP="005C3E45">
      <w:pPr>
        <w:numPr>
          <w:ilvl w:val="0"/>
          <w:numId w:val="42"/>
        </w:numPr>
        <w:ind w:left="360"/>
        <w:rPr>
          <w:bCs/>
        </w:rPr>
      </w:pPr>
      <w:r w:rsidRPr="00CE3E82">
        <w:rPr>
          <w:bCs/>
        </w:rPr>
        <w:t xml:space="preserve">Gilroy RK.  Intestinal and </w:t>
      </w:r>
      <w:proofErr w:type="spellStart"/>
      <w:r w:rsidRPr="00CE3E82">
        <w:rPr>
          <w:bCs/>
        </w:rPr>
        <w:t>multivisceral</w:t>
      </w:r>
      <w:proofErr w:type="spellEnd"/>
      <w:r w:rsidRPr="00CE3E82">
        <w:rPr>
          <w:bCs/>
        </w:rPr>
        <w:t xml:space="preserve"> transplantation.  Medscape Reference, </w:t>
      </w:r>
      <w:proofErr w:type="spellStart"/>
      <w:r w:rsidRPr="00CE3E82">
        <w:rPr>
          <w:bCs/>
        </w:rPr>
        <w:t>Shaprio</w:t>
      </w:r>
      <w:proofErr w:type="spellEnd"/>
      <w:r w:rsidRPr="00CE3E82">
        <w:rPr>
          <w:bCs/>
        </w:rPr>
        <w:t xml:space="preserve"> R (Ed)</w:t>
      </w:r>
      <w:r w:rsidR="002C4EC0" w:rsidRPr="00CE3E82">
        <w:rPr>
          <w:bCs/>
        </w:rPr>
        <w:t>, Apr</w:t>
      </w:r>
      <w:r w:rsidRPr="00CE3E82">
        <w:rPr>
          <w:bCs/>
        </w:rPr>
        <w:t xml:space="preserve"> 6, 2015.</w:t>
      </w:r>
      <w:r w:rsidR="005C3E45">
        <w:rPr>
          <w:bCs/>
        </w:rPr>
        <w:t xml:space="preserve"> Updated May 24, 2018</w:t>
      </w:r>
    </w:p>
    <w:p w14:paraId="34165F39" w14:textId="4215F94F" w:rsidR="00E60B32" w:rsidRPr="00CE3E82" w:rsidRDefault="00E60B32" w:rsidP="005C3E45">
      <w:pPr>
        <w:numPr>
          <w:ilvl w:val="0"/>
          <w:numId w:val="42"/>
        </w:numPr>
        <w:ind w:left="360"/>
        <w:rPr>
          <w:bCs/>
        </w:rPr>
      </w:pPr>
      <w:r w:rsidRPr="00CE3E82">
        <w:rPr>
          <w:bCs/>
        </w:rPr>
        <w:t>Greenstein SM.  Intestinal transplantation.  Medscape Reference, Mancini MC (Ed)</w:t>
      </w:r>
      <w:r w:rsidR="00C627FB">
        <w:rPr>
          <w:bCs/>
        </w:rPr>
        <w:t>. Updated May 24, 2018.</w:t>
      </w:r>
    </w:p>
    <w:p w14:paraId="594FEF6A" w14:textId="600A24B6" w:rsidR="00E60B32" w:rsidRPr="00CE3E82" w:rsidRDefault="00E60B32" w:rsidP="005C3E45">
      <w:pPr>
        <w:numPr>
          <w:ilvl w:val="0"/>
          <w:numId w:val="42"/>
        </w:numPr>
        <w:ind w:left="360"/>
        <w:rPr>
          <w:bCs/>
        </w:rPr>
      </w:pPr>
      <w:r w:rsidRPr="00CE3E82">
        <w:rPr>
          <w:bCs/>
        </w:rPr>
        <w:t xml:space="preserve">Hayes. Health Technology Brief. Living Related Donor Small Bowel Transplantation for Intestinal Failure. Updated </w:t>
      </w:r>
      <w:r w:rsidR="00CF3392">
        <w:rPr>
          <w:bCs/>
        </w:rPr>
        <w:t xml:space="preserve">April </w:t>
      </w:r>
      <w:r w:rsidRPr="00CE3E82">
        <w:rPr>
          <w:bCs/>
        </w:rPr>
        <w:t>22, 2016.</w:t>
      </w:r>
      <w:r w:rsidR="00C627FB">
        <w:rPr>
          <w:bCs/>
        </w:rPr>
        <w:t xml:space="preserve"> Archived July 26, 2018.</w:t>
      </w:r>
    </w:p>
    <w:p w14:paraId="2BD92451" w14:textId="77777777" w:rsidR="00E60B32" w:rsidRPr="00CE3E82" w:rsidRDefault="00E60B32" w:rsidP="005C3E45">
      <w:pPr>
        <w:numPr>
          <w:ilvl w:val="0"/>
          <w:numId w:val="42"/>
        </w:numPr>
        <w:ind w:left="360"/>
        <w:rPr>
          <w:bCs/>
        </w:rPr>
      </w:pPr>
      <w:r w:rsidRPr="00CE3E82">
        <w:rPr>
          <w:bCs/>
        </w:rPr>
        <w:t xml:space="preserve">Kato T, et al. Intestinal and </w:t>
      </w:r>
      <w:proofErr w:type="spellStart"/>
      <w:r w:rsidRPr="00CE3E82">
        <w:rPr>
          <w:bCs/>
        </w:rPr>
        <w:t>multivisceral</w:t>
      </w:r>
      <w:proofErr w:type="spellEnd"/>
      <w:r w:rsidRPr="00CE3E82">
        <w:rPr>
          <w:bCs/>
        </w:rPr>
        <w:t xml:space="preserve"> transplantation in children.  </w:t>
      </w:r>
      <w:hyperlink r:id="rId17" w:history="1">
        <w:r w:rsidRPr="00CE3E82">
          <w:rPr>
            <w:bCs/>
          </w:rPr>
          <w:t>Ann Surg.  2006; 243(6):756-64; discussion 764-6</w:t>
        </w:r>
      </w:hyperlink>
      <w:r w:rsidRPr="00CE3E82">
        <w:rPr>
          <w:bCs/>
        </w:rPr>
        <w:t>.</w:t>
      </w:r>
    </w:p>
    <w:p w14:paraId="445306A0" w14:textId="77777777" w:rsidR="00E60B32" w:rsidRPr="00CE3E82" w:rsidRDefault="00E60B32" w:rsidP="00EA5DFC">
      <w:pPr>
        <w:numPr>
          <w:ilvl w:val="0"/>
          <w:numId w:val="42"/>
        </w:numPr>
        <w:tabs>
          <w:tab w:val="num" w:pos="630"/>
        </w:tabs>
        <w:ind w:left="360"/>
        <w:rPr>
          <w:bCs/>
        </w:rPr>
      </w:pPr>
      <w:r w:rsidRPr="00CE3E82">
        <w:rPr>
          <w:bCs/>
        </w:rPr>
        <w:t xml:space="preserve">Kaufman SS, Atkinson JB, Bianchi A, et al. American Society of Transplantation. Indications for pediatric intestinal transplantation: a position paper of the American Society of Transplantation. </w:t>
      </w:r>
      <w:proofErr w:type="spellStart"/>
      <w:r w:rsidRPr="00CE3E82">
        <w:rPr>
          <w:bCs/>
        </w:rPr>
        <w:t>Pediatr</w:t>
      </w:r>
      <w:proofErr w:type="spellEnd"/>
      <w:r w:rsidRPr="00CE3E82">
        <w:rPr>
          <w:bCs/>
        </w:rPr>
        <w:t xml:space="preserve"> Transplant. 2001</w:t>
      </w:r>
      <w:proofErr w:type="gramStart"/>
      <w:r w:rsidRPr="00CE3E82">
        <w:rPr>
          <w:bCs/>
        </w:rPr>
        <w:t>;5</w:t>
      </w:r>
      <w:proofErr w:type="gramEnd"/>
      <w:r w:rsidRPr="00CE3E82">
        <w:rPr>
          <w:bCs/>
        </w:rPr>
        <w:t>(2):80-87.</w:t>
      </w:r>
    </w:p>
    <w:p w14:paraId="403201BD" w14:textId="69CA9983" w:rsidR="00E60B32" w:rsidRPr="00CE3E82" w:rsidRDefault="00E60B32" w:rsidP="00EA5DFC">
      <w:pPr>
        <w:numPr>
          <w:ilvl w:val="0"/>
          <w:numId w:val="42"/>
        </w:numPr>
        <w:tabs>
          <w:tab w:val="num" w:pos="630"/>
        </w:tabs>
        <w:ind w:left="360"/>
        <w:rPr>
          <w:bCs/>
        </w:rPr>
      </w:pPr>
      <w:proofErr w:type="spellStart"/>
      <w:r w:rsidRPr="00CE3E82">
        <w:rPr>
          <w:bCs/>
        </w:rPr>
        <w:t>Kubal</w:t>
      </w:r>
      <w:proofErr w:type="spellEnd"/>
      <w:r w:rsidRPr="00CE3E82">
        <w:rPr>
          <w:bCs/>
        </w:rPr>
        <w:t xml:space="preserve"> CA, </w:t>
      </w:r>
      <w:proofErr w:type="spellStart"/>
      <w:r w:rsidRPr="00CE3E82">
        <w:rPr>
          <w:bCs/>
        </w:rPr>
        <w:t>Mangus</w:t>
      </w:r>
      <w:proofErr w:type="spellEnd"/>
      <w:r w:rsidRPr="00CE3E82">
        <w:rPr>
          <w:bCs/>
        </w:rPr>
        <w:t xml:space="preserve"> RS, </w:t>
      </w:r>
      <w:proofErr w:type="spellStart"/>
      <w:r w:rsidRPr="00CE3E82">
        <w:rPr>
          <w:bCs/>
        </w:rPr>
        <w:t>Tector</w:t>
      </w:r>
      <w:proofErr w:type="spellEnd"/>
      <w:r w:rsidRPr="00CE3E82">
        <w:rPr>
          <w:bCs/>
        </w:rPr>
        <w:t xml:space="preserve"> AJ. Intestine and </w:t>
      </w:r>
      <w:proofErr w:type="spellStart"/>
      <w:r w:rsidRPr="00CE3E82">
        <w:rPr>
          <w:bCs/>
        </w:rPr>
        <w:t>multivisceral</w:t>
      </w:r>
      <w:proofErr w:type="spellEnd"/>
      <w:r w:rsidRPr="00CE3E82">
        <w:rPr>
          <w:bCs/>
        </w:rPr>
        <w:t xml:space="preserve"> transplantation: Current status and future directions. </w:t>
      </w:r>
      <w:proofErr w:type="spellStart"/>
      <w:r w:rsidRPr="00CE3E82">
        <w:rPr>
          <w:bCs/>
        </w:rPr>
        <w:t>Curr</w:t>
      </w:r>
      <w:proofErr w:type="spellEnd"/>
      <w:r w:rsidRPr="00CE3E82">
        <w:rPr>
          <w:bCs/>
        </w:rPr>
        <w:t xml:space="preserve"> </w:t>
      </w:r>
      <w:proofErr w:type="spellStart"/>
      <w:r w:rsidRPr="00CE3E82">
        <w:rPr>
          <w:bCs/>
        </w:rPr>
        <w:t>Gastroenterol</w:t>
      </w:r>
      <w:proofErr w:type="spellEnd"/>
      <w:r w:rsidRPr="00CE3E82">
        <w:rPr>
          <w:bCs/>
        </w:rPr>
        <w:t xml:space="preserve"> Rep. 2015;17(1):427</w:t>
      </w:r>
    </w:p>
    <w:p w14:paraId="597992CA" w14:textId="77777777" w:rsidR="00E60B32" w:rsidRPr="00CE3E82" w:rsidRDefault="00E60B32" w:rsidP="00EA5DFC">
      <w:pPr>
        <w:numPr>
          <w:ilvl w:val="0"/>
          <w:numId w:val="42"/>
        </w:numPr>
        <w:tabs>
          <w:tab w:val="num" w:pos="630"/>
        </w:tabs>
        <w:ind w:left="360"/>
        <w:rPr>
          <w:bCs/>
          <w:iCs/>
        </w:rPr>
      </w:pPr>
      <w:proofErr w:type="spellStart"/>
      <w:r w:rsidRPr="00CE3E82">
        <w:rPr>
          <w:bCs/>
        </w:rPr>
        <w:lastRenderedPageBreak/>
        <w:t>Levitsky</w:t>
      </w:r>
      <w:proofErr w:type="spellEnd"/>
      <w:r w:rsidRPr="00CE3E82">
        <w:rPr>
          <w:bCs/>
        </w:rPr>
        <w:t xml:space="preserve"> J, Doucette K. Viral Hepatitis in Solid Organ Transplantation. </w:t>
      </w:r>
      <w:r w:rsidRPr="00CE3E82">
        <w:rPr>
          <w:bCs/>
          <w:iCs/>
        </w:rPr>
        <w:t xml:space="preserve">American Journal of Transplantation. 2013; 13: 147–168. </w:t>
      </w:r>
    </w:p>
    <w:p w14:paraId="28013523" w14:textId="77777777" w:rsidR="00E60B32" w:rsidRPr="00CE3E82" w:rsidRDefault="00E60B32" w:rsidP="00EA5DFC">
      <w:pPr>
        <w:numPr>
          <w:ilvl w:val="0"/>
          <w:numId w:val="42"/>
        </w:numPr>
        <w:tabs>
          <w:tab w:val="num" w:pos="630"/>
        </w:tabs>
        <w:ind w:left="360"/>
        <w:rPr>
          <w:bCs/>
        </w:rPr>
      </w:pPr>
      <w:proofErr w:type="spellStart"/>
      <w:r w:rsidRPr="00CE3E82">
        <w:rPr>
          <w:bCs/>
        </w:rPr>
        <w:t>Llad</w:t>
      </w:r>
      <w:proofErr w:type="spellEnd"/>
      <w:r w:rsidRPr="00CE3E82">
        <w:rPr>
          <w:bCs/>
        </w:rPr>
        <w:t xml:space="preserve"> L, et al. Management of portal vein thrombosis in liver transplantation: influence on morbidity and mortality. Clinical Transplantation. 2007</w:t>
      </w:r>
      <w:proofErr w:type="gramStart"/>
      <w:r w:rsidRPr="00CE3E82">
        <w:rPr>
          <w:bCs/>
        </w:rPr>
        <w:t>;21</w:t>
      </w:r>
      <w:proofErr w:type="gramEnd"/>
      <w:r w:rsidRPr="00CE3E82">
        <w:rPr>
          <w:bCs/>
        </w:rPr>
        <w:t>: 716721.</w:t>
      </w:r>
    </w:p>
    <w:p w14:paraId="51604CD1" w14:textId="77777777" w:rsidR="00E60B32" w:rsidRPr="00CE3E82" w:rsidRDefault="00E60B32" w:rsidP="00EA5DFC">
      <w:pPr>
        <w:numPr>
          <w:ilvl w:val="0"/>
          <w:numId w:val="42"/>
        </w:numPr>
        <w:tabs>
          <w:tab w:val="num" w:pos="630"/>
        </w:tabs>
        <w:ind w:left="360"/>
        <w:rPr>
          <w:bCs/>
        </w:rPr>
      </w:pPr>
      <w:proofErr w:type="spellStart"/>
      <w:r w:rsidRPr="00CE3E82">
        <w:rPr>
          <w:bCs/>
        </w:rPr>
        <w:t>Mangus</w:t>
      </w:r>
      <w:proofErr w:type="spellEnd"/>
      <w:r w:rsidRPr="00CE3E82">
        <w:rPr>
          <w:bCs/>
        </w:rPr>
        <w:t xml:space="preserve"> RS, et al.  </w:t>
      </w:r>
      <w:proofErr w:type="spellStart"/>
      <w:r w:rsidRPr="00CE3E82">
        <w:rPr>
          <w:bCs/>
        </w:rPr>
        <w:t>Multivisceral</w:t>
      </w:r>
      <w:proofErr w:type="spellEnd"/>
      <w:r w:rsidRPr="00CE3E82">
        <w:rPr>
          <w:bCs/>
        </w:rPr>
        <w:t xml:space="preserve"> transplantation: expanding indications and improving outcomes.  J </w:t>
      </w:r>
      <w:proofErr w:type="spellStart"/>
      <w:r w:rsidRPr="00CE3E82">
        <w:rPr>
          <w:bCs/>
        </w:rPr>
        <w:t>Gastrointest</w:t>
      </w:r>
      <w:proofErr w:type="spellEnd"/>
      <w:r w:rsidRPr="00CE3E82">
        <w:rPr>
          <w:bCs/>
        </w:rPr>
        <w:t xml:space="preserve"> Surg.  2013 Jan</w:t>
      </w:r>
      <w:proofErr w:type="gramStart"/>
      <w:r w:rsidRPr="00CE3E82">
        <w:rPr>
          <w:bCs/>
        </w:rPr>
        <w:t>;17</w:t>
      </w:r>
      <w:proofErr w:type="gramEnd"/>
      <w:r w:rsidRPr="00CE3E82">
        <w:rPr>
          <w:bCs/>
        </w:rPr>
        <w:t xml:space="preserve">(1):179-86.  </w:t>
      </w:r>
    </w:p>
    <w:p w14:paraId="766FC43D" w14:textId="77777777" w:rsidR="00E60B32" w:rsidRPr="00CE3E82" w:rsidRDefault="00E60B32" w:rsidP="00EA5DFC">
      <w:pPr>
        <w:numPr>
          <w:ilvl w:val="0"/>
          <w:numId w:val="42"/>
        </w:numPr>
        <w:tabs>
          <w:tab w:val="clear" w:pos="450"/>
          <w:tab w:val="num" w:pos="630"/>
        </w:tabs>
        <w:ind w:left="360"/>
        <w:rPr>
          <w:bCs/>
        </w:rPr>
      </w:pPr>
      <w:r w:rsidRPr="00CE3E82">
        <w:rPr>
          <w:bCs/>
        </w:rPr>
        <w:t>Nightingale J, Woodward JM. Small Bowel and Nutrition Committee of the British Society of Gastroenterology. Guidelines for management of patients with a short bowel. Gut. 2006</w:t>
      </w:r>
      <w:proofErr w:type="gramStart"/>
      <w:r w:rsidRPr="00CE3E82">
        <w:rPr>
          <w:bCs/>
        </w:rPr>
        <w:t>;55</w:t>
      </w:r>
      <w:proofErr w:type="gramEnd"/>
      <w:r w:rsidRPr="00CE3E82">
        <w:rPr>
          <w:bCs/>
        </w:rPr>
        <w:t>(</w:t>
      </w:r>
      <w:proofErr w:type="spellStart"/>
      <w:r w:rsidRPr="00CE3E82">
        <w:rPr>
          <w:bCs/>
        </w:rPr>
        <w:t>Suppl</w:t>
      </w:r>
      <w:proofErr w:type="spellEnd"/>
      <w:r w:rsidRPr="00CE3E82">
        <w:rPr>
          <w:bCs/>
        </w:rPr>
        <w:t xml:space="preserve"> IV):iv1-iv12.</w:t>
      </w:r>
    </w:p>
    <w:p w14:paraId="38C861F4" w14:textId="352BCEB9" w:rsidR="00E60B32" w:rsidRPr="00CE3E82" w:rsidRDefault="00E60B32" w:rsidP="00EA5DFC">
      <w:pPr>
        <w:numPr>
          <w:ilvl w:val="0"/>
          <w:numId w:val="42"/>
        </w:numPr>
        <w:tabs>
          <w:tab w:val="clear" w:pos="450"/>
          <w:tab w:val="num" w:pos="360"/>
        </w:tabs>
        <w:ind w:left="360"/>
        <w:rPr>
          <w:bCs/>
        </w:rPr>
      </w:pPr>
      <w:r w:rsidRPr="00CE3E82">
        <w:rPr>
          <w:bCs/>
        </w:rPr>
        <w:t xml:space="preserve">Nishida S.  Pediatric intestinal and </w:t>
      </w:r>
      <w:proofErr w:type="spellStart"/>
      <w:r w:rsidRPr="00CE3E82">
        <w:rPr>
          <w:bCs/>
        </w:rPr>
        <w:t>multivisceral</w:t>
      </w:r>
      <w:proofErr w:type="spellEnd"/>
      <w:r w:rsidRPr="00CE3E82">
        <w:rPr>
          <w:bCs/>
        </w:rPr>
        <w:t xml:space="preserve"> transplantation.  Medscape Reference, Greenstein SM (Ed),</w:t>
      </w:r>
      <w:r w:rsidR="00CE5209">
        <w:rPr>
          <w:bCs/>
        </w:rPr>
        <w:t xml:space="preserve"> Jan 06, 2016</w:t>
      </w:r>
      <w:r w:rsidRPr="00CE3E82">
        <w:rPr>
          <w:bCs/>
        </w:rPr>
        <w:t xml:space="preserve">.  </w:t>
      </w:r>
      <w:hyperlink r:id="rId18" w:history="1">
        <w:r w:rsidRPr="00B21761">
          <w:rPr>
            <w:rStyle w:val="Hyperlink"/>
            <w:bCs/>
          </w:rPr>
          <w:t xml:space="preserve">http://emedicine.medscape.com/article/1013915-overview </w:t>
        </w:r>
      </w:hyperlink>
    </w:p>
    <w:p w14:paraId="7A62A8FA" w14:textId="6CA66140" w:rsidR="00E60B32" w:rsidRPr="00CE3E82" w:rsidRDefault="00E60B32" w:rsidP="00EA5DFC">
      <w:pPr>
        <w:numPr>
          <w:ilvl w:val="0"/>
          <w:numId w:val="42"/>
        </w:numPr>
        <w:tabs>
          <w:tab w:val="clear" w:pos="450"/>
          <w:tab w:val="num" w:pos="360"/>
        </w:tabs>
        <w:ind w:left="360"/>
        <w:rPr>
          <w:bCs/>
        </w:rPr>
      </w:pPr>
      <w:proofErr w:type="spellStart"/>
      <w:r w:rsidRPr="00CE3E82">
        <w:rPr>
          <w:bCs/>
        </w:rPr>
        <w:t>Troppmann</w:t>
      </w:r>
      <w:proofErr w:type="spellEnd"/>
      <w:r w:rsidRPr="00CE3E82">
        <w:rPr>
          <w:bCs/>
        </w:rPr>
        <w:t xml:space="preserve"> C, </w:t>
      </w:r>
      <w:proofErr w:type="spellStart"/>
      <w:r w:rsidRPr="00CE3E82">
        <w:rPr>
          <w:bCs/>
        </w:rPr>
        <w:t>Gruessner</w:t>
      </w:r>
      <w:proofErr w:type="spellEnd"/>
      <w:r w:rsidRPr="00CE3E82">
        <w:rPr>
          <w:bCs/>
        </w:rPr>
        <w:t xml:space="preserve"> RW.  Intestinal transplantation.  In: Surgical Treatment: Evidence-Based and Problem-Oriented, </w:t>
      </w:r>
      <w:proofErr w:type="spellStart"/>
      <w:r w:rsidRPr="00CE3E82">
        <w:rPr>
          <w:bCs/>
        </w:rPr>
        <w:t>Holzheimer</w:t>
      </w:r>
      <w:proofErr w:type="spellEnd"/>
      <w:r w:rsidRPr="00CE3E82">
        <w:rPr>
          <w:bCs/>
        </w:rPr>
        <w:t xml:space="preserve"> RG, </w:t>
      </w:r>
      <w:proofErr w:type="spellStart"/>
      <w:r w:rsidRPr="00CE3E82">
        <w:rPr>
          <w:bCs/>
        </w:rPr>
        <w:t>Mannick</w:t>
      </w:r>
      <w:proofErr w:type="spellEnd"/>
      <w:r w:rsidRPr="00CE3E82">
        <w:rPr>
          <w:bCs/>
        </w:rPr>
        <w:t xml:space="preserve"> JA (Ed), Munich: </w:t>
      </w:r>
      <w:proofErr w:type="spellStart"/>
      <w:r w:rsidRPr="00CE3E82">
        <w:rPr>
          <w:bCs/>
        </w:rPr>
        <w:t>Zuckschwerdt</w:t>
      </w:r>
      <w:proofErr w:type="spellEnd"/>
      <w:r w:rsidRPr="00CE3E82">
        <w:rPr>
          <w:bCs/>
        </w:rPr>
        <w:t xml:space="preserve">; 2001.  </w:t>
      </w:r>
    </w:p>
    <w:p w14:paraId="35F968C5" w14:textId="45EDD07B" w:rsidR="00E60B32" w:rsidRPr="00CE3E82" w:rsidRDefault="00E60B32" w:rsidP="00EA5DFC">
      <w:pPr>
        <w:numPr>
          <w:ilvl w:val="0"/>
          <w:numId w:val="42"/>
        </w:numPr>
        <w:tabs>
          <w:tab w:val="clear" w:pos="450"/>
          <w:tab w:val="num" w:pos="360"/>
        </w:tabs>
        <w:ind w:left="360"/>
        <w:rPr>
          <w:rStyle w:val="citation-flpages"/>
        </w:rPr>
      </w:pPr>
      <w:proofErr w:type="spellStart"/>
      <w:r w:rsidRPr="00CE3E82">
        <w:rPr>
          <w:bCs/>
        </w:rPr>
        <w:t>Tzakis</w:t>
      </w:r>
      <w:proofErr w:type="spellEnd"/>
      <w:r w:rsidRPr="00CE3E82">
        <w:rPr>
          <w:bCs/>
        </w:rPr>
        <w:t xml:space="preserve"> AG, et al.  100 </w:t>
      </w:r>
      <w:proofErr w:type="spellStart"/>
      <w:r w:rsidRPr="00CE3E82">
        <w:rPr>
          <w:bCs/>
        </w:rPr>
        <w:t>multivisceral</w:t>
      </w:r>
      <w:proofErr w:type="spellEnd"/>
      <w:r w:rsidRPr="00CE3E82">
        <w:rPr>
          <w:bCs/>
        </w:rPr>
        <w:t xml:space="preserve"> transplants at a single center.  </w:t>
      </w:r>
      <w:r w:rsidRPr="00CE3E82">
        <w:rPr>
          <w:rStyle w:val="citation-abbreviation"/>
        </w:rPr>
        <w:t xml:space="preserve">Ann Surg. </w:t>
      </w:r>
      <w:r w:rsidRPr="00CE3E82">
        <w:rPr>
          <w:rStyle w:val="citation-publication-date"/>
        </w:rPr>
        <w:t xml:space="preserve">2005 October; </w:t>
      </w:r>
      <w:r w:rsidRPr="00CE3E82">
        <w:rPr>
          <w:rStyle w:val="citation-volume"/>
        </w:rPr>
        <w:t>242</w:t>
      </w:r>
      <w:r w:rsidRPr="00CE3E82">
        <w:rPr>
          <w:rStyle w:val="citation-issue"/>
        </w:rPr>
        <w:t>(4)</w:t>
      </w:r>
      <w:r w:rsidRPr="00CE3E82">
        <w:rPr>
          <w:rStyle w:val="citation-flpages"/>
        </w:rPr>
        <w:t xml:space="preserve">: 480–493.  </w:t>
      </w:r>
    </w:p>
    <w:p w14:paraId="3C352169" w14:textId="199867B8" w:rsidR="00E60B32" w:rsidRPr="00CE3E82" w:rsidRDefault="00E60B32" w:rsidP="00EA5DFC">
      <w:pPr>
        <w:numPr>
          <w:ilvl w:val="0"/>
          <w:numId w:val="42"/>
        </w:numPr>
        <w:tabs>
          <w:tab w:val="clear" w:pos="450"/>
          <w:tab w:val="num" w:pos="360"/>
        </w:tabs>
        <w:ind w:left="360"/>
        <w:rPr>
          <w:rStyle w:val="citation-flpages"/>
        </w:rPr>
      </w:pPr>
      <w:r w:rsidRPr="00CE3E82">
        <w:rPr>
          <w:rStyle w:val="citation-flpages"/>
        </w:rPr>
        <w:t xml:space="preserve">U.S. Department of Veteran Affairs. HIV/ AIDS. Laboratory Tests and HIV: Entire Lesson. Available at: </w:t>
      </w:r>
      <w:hyperlink r:id="rId19" w:history="1">
        <w:r w:rsidRPr="00B21761">
          <w:rPr>
            <w:rStyle w:val="Hyperlink"/>
          </w:rPr>
          <w:t>http://www.hiv.va.gov/patient/diagnosis/labtests-single-page.asp</w:t>
        </w:r>
      </w:hyperlink>
    </w:p>
    <w:p w14:paraId="5D4F9CCC" w14:textId="77777777" w:rsidR="00E60B32" w:rsidRPr="00CE3E82" w:rsidRDefault="00E60B32" w:rsidP="00EA5DFC">
      <w:pPr>
        <w:numPr>
          <w:ilvl w:val="0"/>
          <w:numId w:val="42"/>
        </w:numPr>
        <w:tabs>
          <w:tab w:val="clear" w:pos="450"/>
          <w:tab w:val="num" w:pos="360"/>
        </w:tabs>
        <w:ind w:left="360"/>
        <w:rPr>
          <w:rStyle w:val="citation-flpages"/>
          <w:bCs/>
        </w:rPr>
      </w:pPr>
      <w:proofErr w:type="spellStart"/>
      <w:r w:rsidRPr="00CE3E82">
        <w:rPr>
          <w:rStyle w:val="citation-flpages"/>
        </w:rPr>
        <w:t>Vianna</w:t>
      </w:r>
      <w:proofErr w:type="spellEnd"/>
      <w:r w:rsidRPr="00CE3E82">
        <w:rPr>
          <w:rStyle w:val="citation-flpages"/>
        </w:rPr>
        <w:t xml:space="preserve"> RM, et al.  </w:t>
      </w:r>
      <w:proofErr w:type="spellStart"/>
      <w:r w:rsidRPr="00CE3E82">
        <w:rPr>
          <w:rStyle w:val="citation-flpages"/>
        </w:rPr>
        <w:t>Multivisceral</w:t>
      </w:r>
      <w:proofErr w:type="spellEnd"/>
      <w:r w:rsidRPr="00CE3E82">
        <w:rPr>
          <w:rStyle w:val="citation-flpages"/>
        </w:rPr>
        <w:t xml:space="preserve"> transplantation for diffuse </w:t>
      </w:r>
      <w:proofErr w:type="spellStart"/>
      <w:r w:rsidRPr="00CE3E82">
        <w:rPr>
          <w:rStyle w:val="citation-flpages"/>
        </w:rPr>
        <w:t>portomesenteric</w:t>
      </w:r>
      <w:proofErr w:type="spellEnd"/>
      <w:r w:rsidRPr="00CE3E82">
        <w:rPr>
          <w:rStyle w:val="citation-flpages"/>
        </w:rPr>
        <w:t xml:space="preserve"> thrombosis.  Ann Surg. 2012 Jun</w:t>
      </w:r>
      <w:proofErr w:type="gramStart"/>
      <w:r w:rsidRPr="00CE3E82">
        <w:rPr>
          <w:rStyle w:val="citation-flpages"/>
        </w:rPr>
        <w:t>;255</w:t>
      </w:r>
      <w:proofErr w:type="gramEnd"/>
      <w:r w:rsidRPr="00CE3E82">
        <w:rPr>
          <w:rStyle w:val="citation-flpages"/>
        </w:rPr>
        <w:t xml:space="preserve">(6):1144-50.  </w:t>
      </w:r>
    </w:p>
    <w:p w14:paraId="523F2E47" w14:textId="77777777" w:rsidR="00E60B32" w:rsidRDefault="00E60B32" w:rsidP="00EA5DFC">
      <w:pPr>
        <w:numPr>
          <w:ilvl w:val="0"/>
          <w:numId w:val="42"/>
        </w:numPr>
        <w:tabs>
          <w:tab w:val="clear" w:pos="450"/>
          <w:tab w:val="num" w:pos="360"/>
        </w:tabs>
        <w:ind w:left="360"/>
        <w:rPr>
          <w:bCs/>
        </w:rPr>
      </w:pPr>
      <w:r w:rsidRPr="00CE3E82">
        <w:rPr>
          <w:bCs/>
        </w:rPr>
        <w:t xml:space="preserve">Wu G, Cruz RJ. Liver inclusion improves outcomes of intestinal </w:t>
      </w:r>
      <w:proofErr w:type="spellStart"/>
      <w:r w:rsidRPr="00CE3E82">
        <w:rPr>
          <w:bCs/>
        </w:rPr>
        <w:t>retransplantation</w:t>
      </w:r>
      <w:proofErr w:type="spellEnd"/>
      <w:r w:rsidRPr="00CE3E82">
        <w:rPr>
          <w:bCs/>
        </w:rPr>
        <w:t xml:space="preserve"> in adults. Transplantation 2015; 99:1265.</w:t>
      </w:r>
    </w:p>
    <w:p w14:paraId="2F3D9C4D" w14:textId="002F523B" w:rsidR="00EA5DFC" w:rsidRDefault="00EA5DFC" w:rsidP="0078511C">
      <w:pPr>
        <w:numPr>
          <w:ilvl w:val="0"/>
          <w:numId w:val="42"/>
        </w:numPr>
        <w:tabs>
          <w:tab w:val="clear" w:pos="450"/>
          <w:tab w:val="num" w:pos="360"/>
        </w:tabs>
        <w:ind w:left="360"/>
        <w:rPr>
          <w:bCs/>
        </w:rPr>
      </w:pPr>
      <w:r>
        <w:rPr>
          <w:bCs/>
        </w:rPr>
        <w:t xml:space="preserve">Dunn CP.  </w:t>
      </w:r>
      <w:r w:rsidRPr="00EA5DFC">
        <w:rPr>
          <w:bCs/>
        </w:rPr>
        <w:t>Intestinal Transplantation</w:t>
      </w:r>
      <w:r>
        <w:rPr>
          <w:bCs/>
        </w:rPr>
        <w:t xml:space="preserve">.  </w:t>
      </w:r>
      <w:r w:rsidRPr="00EA5DFC">
        <w:rPr>
          <w:bCs/>
        </w:rPr>
        <w:t>Medscape Reference</w:t>
      </w:r>
      <w:r>
        <w:rPr>
          <w:bCs/>
        </w:rPr>
        <w:t xml:space="preserve">.  </w:t>
      </w:r>
      <w:r w:rsidRPr="00EA5DFC">
        <w:rPr>
          <w:bCs/>
        </w:rPr>
        <w:t>Mancini MC (Ed),</w:t>
      </w:r>
      <w:r w:rsidR="001831C1">
        <w:rPr>
          <w:bCs/>
        </w:rPr>
        <w:t xml:space="preserve"> January </w:t>
      </w:r>
      <w:r w:rsidR="00480E83">
        <w:rPr>
          <w:bCs/>
        </w:rPr>
        <w:t>1</w:t>
      </w:r>
      <w:r w:rsidR="001831C1">
        <w:rPr>
          <w:bCs/>
        </w:rPr>
        <w:t xml:space="preserve">8, </w:t>
      </w:r>
      <w:r>
        <w:rPr>
          <w:bCs/>
        </w:rPr>
        <w:t>2017</w:t>
      </w:r>
      <w:r w:rsidR="00480E83">
        <w:rPr>
          <w:bCs/>
        </w:rPr>
        <w:t xml:space="preserve">. </w:t>
      </w:r>
    </w:p>
    <w:p w14:paraId="2B455E97" w14:textId="3DF3DF8E" w:rsidR="00F40660" w:rsidRDefault="00F40660" w:rsidP="0078511C">
      <w:pPr>
        <w:numPr>
          <w:ilvl w:val="0"/>
          <w:numId w:val="42"/>
        </w:numPr>
        <w:tabs>
          <w:tab w:val="clear" w:pos="450"/>
          <w:tab w:val="num" w:pos="360"/>
        </w:tabs>
        <w:ind w:hanging="450"/>
        <w:rPr>
          <w:bCs/>
        </w:rPr>
      </w:pPr>
      <w:proofErr w:type="spellStart"/>
      <w:r w:rsidRPr="00F40660">
        <w:rPr>
          <w:bCs/>
        </w:rPr>
        <w:t>Bharadwaj</w:t>
      </w:r>
      <w:proofErr w:type="spellEnd"/>
      <w:r w:rsidRPr="00F40660">
        <w:rPr>
          <w:bCs/>
        </w:rPr>
        <w:t xml:space="preserve"> S, </w:t>
      </w:r>
      <w:proofErr w:type="spellStart"/>
      <w:r w:rsidRPr="00F40660">
        <w:rPr>
          <w:bCs/>
        </w:rPr>
        <w:t>Tandon</w:t>
      </w:r>
      <w:proofErr w:type="spellEnd"/>
      <w:r w:rsidRPr="00F40660">
        <w:rPr>
          <w:bCs/>
        </w:rPr>
        <w:t xml:space="preserve"> P, </w:t>
      </w:r>
      <w:proofErr w:type="spellStart"/>
      <w:r w:rsidRPr="00F40660">
        <w:rPr>
          <w:bCs/>
        </w:rPr>
        <w:t>Gohel</w:t>
      </w:r>
      <w:proofErr w:type="spellEnd"/>
      <w:r w:rsidRPr="00F40660">
        <w:rPr>
          <w:bCs/>
        </w:rPr>
        <w:t xml:space="preserve"> TD</w:t>
      </w:r>
      <w:r>
        <w:rPr>
          <w:bCs/>
        </w:rPr>
        <w:t xml:space="preserve">, et al.  </w:t>
      </w:r>
      <w:r w:rsidRPr="00F40660">
        <w:rPr>
          <w:bCs/>
        </w:rPr>
        <w:t xml:space="preserve">Current status of intestinal and </w:t>
      </w:r>
      <w:proofErr w:type="spellStart"/>
      <w:r w:rsidRPr="00F40660">
        <w:rPr>
          <w:bCs/>
        </w:rPr>
        <w:t>multivisceral</w:t>
      </w:r>
      <w:proofErr w:type="spellEnd"/>
      <w:r w:rsidRPr="00F40660">
        <w:rPr>
          <w:bCs/>
        </w:rPr>
        <w:t xml:space="preserve"> transplantation.</w:t>
      </w:r>
      <w:r>
        <w:rPr>
          <w:bCs/>
        </w:rPr>
        <w:t xml:space="preserve">  </w:t>
      </w:r>
      <w:proofErr w:type="spellStart"/>
      <w:r w:rsidRPr="00F40660">
        <w:rPr>
          <w:bCs/>
        </w:rPr>
        <w:t>Gastroenterol</w:t>
      </w:r>
      <w:proofErr w:type="spellEnd"/>
      <w:r w:rsidRPr="00F40660">
        <w:rPr>
          <w:bCs/>
        </w:rPr>
        <w:t xml:space="preserve"> Rep (</w:t>
      </w:r>
      <w:proofErr w:type="spellStart"/>
      <w:r w:rsidRPr="00F40660">
        <w:rPr>
          <w:bCs/>
        </w:rPr>
        <w:t>Oxf</w:t>
      </w:r>
      <w:proofErr w:type="spellEnd"/>
      <w:r w:rsidRPr="00F40660">
        <w:rPr>
          <w:bCs/>
        </w:rPr>
        <w:t>). 2017 Feb</w:t>
      </w:r>
      <w:proofErr w:type="gramStart"/>
      <w:r w:rsidRPr="00F40660">
        <w:rPr>
          <w:bCs/>
        </w:rPr>
        <w:t>;5</w:t>
      </w:r>
      <w:proofErr w:type="gramEnd"/>
      <w:r w:rsidRPr="00F40660">
        <w:rPr>
          <w:bCs/>
        </w:rPr>
        <w:t>(1):20-28.</w:t>
      </w:r>
    </w:p>
    <w:p w14:paraId="40642990" w14:textId="71F42B21" w:rsidR="0078511C" w:rsidRDefault="0078511C" w:rsidP="003178E2">
      <w:pPr>
        <w:numPr>
          <w:ilvl w:val="0"/>
          <w:numId w:val="42"/>
        </w:numPr>
        <w:tabs>
          <w:tab w:val="clear" w:pos="450"/>
          <w:tab w:val="num" w:pos="90"/>
        </w:tabs>
        <w:ind w:left="360"/>
        <w:rPr>
          <w:bCs/>
        </w:rPr>
      </w:pPr>
      <w:proofErr w:type="spellStart"/>
      <w:r w:rsidRPr="0078511C">
        <w:rPr>
          <w:bCs/>
        </w:rPr>
        <w:t>Pironi</w:t>
      </w:r>
      <w:proofErr w:type="spellEnd"/>
      <w:r w:rsidRPr="0078511C">
        <w:rPr>
          <w:bCs/>
        </w:rPr>
        <w:t xml:space="preserve"> L, </w:t>
      </w:r>
      <w:proofErr w:type="spellStart"/>
      <w:r w:rsidRPr="0078511C">
        <w:rPr>
          <w:bCs/>
        </w:rPr>
        <w:t>Arends</w:t>
      </w:r>
      <w:proofErr w:type="spellEnd"/>
      <w:r w:rsidRPr="0078511C">
        <w:rPr>
          <w:bCs/>
        </w:rPr>
        <w:t xml:space="preserve"> J, </w:t>
      </w:r>
      <w:proofErr w:type="spellStart"/>
      <w:r w:rsidRPr="0078511C">
        <w:rPr>
          <w:bCs/>
        </w:rPr>
        <w:t>Bozzetti</w:t>
      </w:r>
      <w:proofErr w:type="spellEnd"/>
      <w:r w:rsidRPr="0078511C">
        <w:rPr>
          <w:bCs/>
        </w:rPr>
        <w:t xml:space="preserve"> F</w:t>
      </w:r>
      <w:r>
        <w:rPr>
          <w:bCs/>
        </w:rPr>
        <w:t xml:space="preserve">, et al.  </w:t>
      </w:r>
      <w:r w:rsidRPr="0078511C">
        <w:rPr>
          <w:bCs/>
        </w:rPr>
        <w:t>ESPEN guidelines on chronic intestinal failure in adults</w:t>
      </w:r>
      <w:r>
        <w:rPr>
          <w:bCs/>
        </w:rPr>
        <w:t xml:space="preserve">.  </w:t>
      </w:r>
      <w:proofErr w:type="spellStart"/>
      <w:r>
        <w:rPr>
          <w:bCs/>
        </w:rPr>
        <w:t>C</w:t>
      </w:r>
      <w:r w:rsidRPr="0078511C">
        <w:rPr>
          <w:bCs/>
        </w:rPr>
        <w:t>lin</w:t>
      </w:r>
      <w:proofErr w:type="spellEnd"/>
      <w:r w:rsidRPr="0078511C">
        <w:rPr>
          <w:bCs/>
        </w:rPr>
        <w:t xml:space="preserve"> </w:t>
      </w:r>
      <w:proofErr w:type="spellStart"/>
      <w:r w:rsidRPr="0078511C">
        <w:rPr>
          <w:bCs/>
        </w:rPr>
        <w:t>Nutr</w:t>
      </w:r>
      <w:proofErr w:type="spellEnd"/>
      <w:r w:rsidRPr="0078511C">
        <w:rPr>
          <w:bCs/>
        </w:rPr>
        <w:t>. 2016 Apr;35(2):247-307</w:t>
      </w:r>
    </w:p>
    <w:p w14:paraId="3F278893" w14:textId="0BE18B73" w:rsidR="00C662CC" w:rsidRDefault="00C662CC" w:rsidP="00C662CC">
      <w:pPr>
        <w:numPr>
          <w:ilvl w:val="0"/>
          <w:numId w:val="42"/>
        </w:numPr>
        <w:tabs>
          <w:tab w:val="clear" w:pos="450"/>
          <w:tab w:val="num" w:pos="360"/>
        </w:tabs>
        <w:ind w:left="360"/>
        <w:rPr>
          <w:bCs/>
        </w:rPr>
      </w:pPr>
      <w:proofErr w:type="spellStart"/>
      <w:r>
        <w:rPr>
          <w:bCs/>
        </w:rPr>
        <w:t>Hawksworth</w:t>
      </w:r>
      <w:proofErr w:type="spellEnd"/>
      <w:r>
        <w:rPr>
          <w:bCs/>
        </w:rPr>
        <w:t xml:space="preserve"> JS, </w:t>
      </w:r>
      <w:proofErr w:type="spellStart"/>
      <w:r>
        <w:rPr>
          <w:bCs/>
        </w:rPr>
        <w:t>Desaid</w:t>
      </w:r>
      <w:proofErr w:type="spellEnd"/>
      <w:r>
        <w:rPr>
          <w:bCs/>
        </w:rPr>
        <w:t xml:space="preserve"> CS, Khan KM, et al. Visceral transplantation in patients with intestine-failure associated liver disease: evolving indications, graft selection, and outcomes.</w:t>
      </w:r>
      <w:r w:rsidRPr="00C662CC">
        <w:t xml:space="preserve"> </w:t>
      </w:r>
      <w:r w:rsidRPr="00C662CC">
        <w:rPr>
          <w:bCs/>
        </w:rPr>
        <w:t>Am J Transplant. 2018 Jun; 18(6): 1312–1320.</w:t>
      </w:r>
      <w:r>
        <w:rPr>
          <w:bCs/>
        </w:rPr>
        <w:t xml:space="preserve">  </w:t>
      </w:r>
    </w:p>
    <w:p w14:paraId="66AF6A5B" w14:textId="0D31ED75" w:rsidR="00A4552A" w:rsidRPr="00CE3E82" w:rsidRDefault="00A4552A" w:rsidP="00C662CC">
      <w:pPr>
        <w:numPr>
          <w:ilvl w:val="0"/>
          <w:numId w:val="42"/>
        </w:numPr>
        <w:tabs>
          <w:tab w:val="clear" w:pos="450"/>
          <w:tab w:val="num" w:pos="360"/>
        </w:tabs>
        <w:ind w:left="360"/>
        <w:rPr>
          <w:bCs/>
        </w:rPr>
      </w:pPr>
      <w:proofErr w:type="spellStart"/>
      <w:r>
        <w:rPr>
          <w:bCs/>
        </w:rPr>
        <w:t>Camilleri</w:t>
      </w:r>
      <w:proofErr w:type="spellEnd"/>
      <w:r>
        <w:rPr>
          <w:bCs/>
        </w:rPr>
        <w:t xml:space="preserve"> M. Chronic intestinal pseudo-obstruction. In: </w:t>
      </w:r>
      <w:proofErr w:type="spellStart"/>
      <w:r>
        <w:rPr>
          <w:bCs/>
        </w:rPr>
        <w:t>UpToDate</w:t>
      </w:r>
      <w:proofErr w:type="spellEnd"/>
      <w:r>
        <w:rPr>
          <w:bCs/>
        </w:rPr>
        <w:t>, Friedman LS (Ed.), Waltham, MA. Accessed May 20, 2019.</w:t>
      </w:r>
    </w:p>
    <w:p w14:paraId="5CDF3069" w14:textId="77777777" w:rsidR="00E60B32" w:rsidRPr="00963062" w:rsidRDefault="00E60B32" w:rsidP="00963062"/>
    <w:p w14:paraId="79510515" w14:textId="77777777" w:rsidR="00E60B32" w:rsidRPr="00DB7073" w:rsidRDefault="00E60B32" w:rsidP="00193BB0">
      <w:pPr>
        <w:rPr>
          <w:rFonts w:ascii="Times New Roman Bold" w:hAnsi="Times New Roman Bold"/>
          <w:b/>
          <w:sz w:val="22"/>
          <w:szCs w:val="22"/>
          <w:u w:val="single"/>
        </w:rPr>
      </w:pPr>
      <w:bookmarkStart w:id="3" w:name="Important_Reminder"/>
      <w:r>
        <w:rPr>
          <w:rFonts w:ascii="Times New Roman Bold" w:hAnsi="Times New Roman Bold"/>
          <w:b/>
          <w:bCs/>
          <w:sz w:val="22"/>
          <w:szCs w:val="22"/>
          <w:u w:val="single"/>
        </w:rPr>
        <w:t>Important R</w:t>
      </w:r>
      <w:r w:rsidRPr="00DB7073">
        <w:rPr>
          <w:rFonts w:ascii="Times New Roman Bold" w:hAnsi="Times New Roman Bold"/>
          <w:b/>
          <w:bCs/>
          <w:sz w:val="22"/>
          <w:szCs w:val="22"/>
          <w:u w:val="single"/>
        </w:rPr>
        <w:t>eminder</w:t>
      </w:r>
    </w:p>
    <w:bookmarkEnd w:id="3"/>
    <w:p w14:paraId="343CE7C6" w14:textId="77777777" w:rsidR="00E60B32" w:rsidRPr="00022E10" w:rsidRDefault="00E60B32" w:rsidP="00193BB0">
      <w:r w:rsidRPr="00022E10">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022E10">
        <w:rPr>
          <w:iCs/>
        </w:rPr>
        <w:t>The Health Plan</w:t>
      </w:r>
      <w:r w:rsidRPr="00022E10">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w:t>
      </w:r>
      <w:r w:rsidRPr="00022E10">
        <w:lastRenderedPageBreak/>
        <w:t>plan that has adopted this clinical policy and that is operated or administered, in whole or in part, by Centene Management Company, LLC, or any of such health plan’s affiliates, as applicable.</w:t>
      </w:r>
    </w:p>
    <w:p w14:paraId="1F945533" w14:textId="77777777" w:rsidR="00E60B32" w:rsidRPr="00022E10" w:rsidRDefault="00E60B32" w:rsidP="00193BB0"/>
    <w:p w14:paraId="189536D5" w14:textId="77777777" w:rsidR="00E60B32" w:rsidRPr="00022E10" w:rsidRDefault="00E60B32" w:rsidP="00193BB0">
      <w:r w:rsidRPr="00022E10">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F6550C9" w14:textId="77777777" w:rsidR="00E60B32" w:rsidRPr="00022E10" w:rsidRDefault="00E60B32" w:rsidP="00193BB0"/>
    <w:p w14:paraId="5CD90CD4" w14:textId="77777777" w:rsidR="00E60B32" w:rsidRPr="00022E10" w:rsidRDefault="00E60B32" w:rsidP="00193BB0">
      <w:pPr>
        <w:rPr>
          <w:color w:val="002868"/>
        </w:rPr>
      </w:pPr>
      <w:r w:rsidRPr="00022E10">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0DCE0ABE" w14:textId="77777777" w:rsidR="00E60B32" w:rsidRPr="00022E10" w:rsidRDefault="00E60B32" w:rsidP="00193BB0"/>
    <w:p w14:paraId="347ED9D0" w14:textId="77777777" w:rsidR="00E60B32" w:rsidRPr="00022E10" w:rsidRDefault="00E60B32" w:rsidP="00193BB0">
      <w:r w:rsidRPr="00022E10">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0176E2A6" w14:textId="77777777" w:rsidR="00E60B32" w:rsidRPr="00022E10" w:rsidRDefault="00E60B32" w:rsidP="00193BB0"/>
    <w:p w14:paraId="48E1A4DD" w14:textId="77777777" w:rsidR="00E60B32" w:rsidRPr="00022E10" w:rsidRDefault="00E60B32" w:rsidP="00193BB0">
      <w:r w:rsidRPr="00022E10">
        <w:t>Providers referred to in this clinical policy are independent contractors who exercise independent judgment and over whom the Health Plan has no control or right of control.  Providers are not agents or employees of the Health Plan.</w:t>
      </w:r>
    </w:p>
    <w:p w14:paraId="137E92B9" w14:textId="77777777" w:rsidR="00E60B32" w:rsidRPr="00022E10" w:rsidRDefault="00E60B32" w:rsidP="00193BB0"/>
    <w:p w14:paraId="79CF7961" w14:textId="77777777" w:rsidR="00E60B32" w:rsidRPr="00022E10" w:rsidRDefault="00E60B32" w:rsidP="00193BB0">
      <w:r w:rsidRPr="00022E10">
        <w:t xml:space="preserve">This clinical policy is the property of </w:t>
      </w:r>
      <w:r w:rsidRPr="00022E10">
        <w:rPr>
          <w:iCs/>
        </w:rPr>
        <w:t>the Health Plan</w:t>
      </w:r>
      <w:r w:rsidRPr="00022E10">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7706498" w14:textId="77777777" w:rsidR="00E60B32" w:rsidRPr="00022E10" w:rsidRDefault="00E60B32" w:rsidP="00193BB0">
      <w:pPr>
        <w:autoSpaceDE w:val="0"/>
        <w:autoSpaceDN w:val="0"/>
        <w:adjustRightInd w:val="0"/>
        <w:rPr>
          <w:color w:val="000000"/>
        </w:rPr>
      </w:pPr>
    </w:p>
    <w:p w14:paraId="1DCFD37E" w14:textId="77777777" w:rsidR="00E60B32" w:rsidRPr="00022E10" w:rsidRDefault="00E60B32" w:rsidP="00193BB0">
      <w:pPr>
        <w:autoSpaceDE w:val="0"/>
        <w:autoSpaceDN w:val="0"/>
        <w:adjustRightInd w:val="0"/>
        <w:rPr>
          <w:color w:val="000000"/>
        </w:rPr>
      </w:pPr>
      <w:r w:rsidRPr="00022E10">
        <w:rPr>
          <w:b/>
          <w:color w:val="000000"/>
        </w:rPr>
        <w:t>Note: For Medicaid members</w:t>
      </w:r>
      <w:r w:rsidRPr="00022E10">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48F14C0F" w14:textId="77777777" w:rsidR="00E60B32" w:rsidRPr="00022E10" w:rsidRDefault="00E60B32" w:rsidP="00193BB0"/>
    <w:p w14:paraId="6BFFB9A2" w14:textId="62392E52" w:rsidR="00E60B32" w:rsidRPr="00022E10" w:rsidRDefault="00E60B32" w:rsidP="00193BB0">
      <w:pPr>
        <w:autoSpaceDE w:val="0"/>
        <w:autoSpaceDN w:val="0"/>
        <w:adjustRightInd w:val="0"/>
        <w:rPr>
          <w:color w:val="000000"/>
        </w:rPr>
      </w:pPr>
      <w:r w:rsidRPr="00022E10">
        <w:rPr>
          <w:b/>
          <w:bCs/>
          <w:color w:val="000000"/>
        </w:rPr>
        <w:t xml:space="preserve">Note: For Medicare members, </w:t>
      </w:r>
      <w:r w:rsidRPr="00022E10">
        <w:rPr>
          <w:color w:val="000000"/>
        </w:rPr>
        <w:t>to ensure consistency with the Medicare National Coverage Determinations (NCD) and Local Coverage Determinations (LCD), all applicable NCDs</w:t>
      </w:r>
      <w:r w:rsidR="00470DB2">
        <w:rPr>
          <w:color w:val="000000"/>
        </w:rPr>
        <w:t>,</w:t>
      </w:r>
      <w:r w:rsidRPr="00022E10">
        <w:rPr>
          <w:color w:val="000000"/>
        </w:rPr>
        <w:t xml:space="preserve"> LCDs</w:t>
      </w:r>
      <w:r w:rsidR="00470DB2">
        <w:rPr>
          <w:color w:val="000000"/>
        </w:rPr>
        <w:t>, and Medicare Coverage Articles</w:t>
      </w:r>
      <w:r w:rsidRPr="00022E10">
        <w:rPr>
          <w:color w:val="000000"/>
        </w:rPr>
        <w:t xml:space="preserve"> should be reviewed </w:t>
      </w:r>
      <w:r w:rsidRPr="00022E10">
        <w:rPr>
          <w:color w:val="000000"/>
          <w:u w:val="single"/>
        </w:rPr>
        <w:t>prior to</w:t>
      </w:r>
      <w:r w:rsidRPr="00022E10">
        <w:rPr>
          <w:color w:val="000000"/>
        </w:rPr>
        <w:t xml:space="preserve"> applying the criteria set forth in this clinical policy. Refer to the CMS website at </w:t>
      </w:r>
      <w:hyperlink r:id="rId20" w:history="1">
        <w:r w:rsidRPr="00022E10">
          <w:rPr>
            <w:color w:val="000000"/>
            <w:u w:val="single"/>
          </w:rPr>
          <w:t>http://www.cms.gov</w:t>
        </w:r>
      </w:hyperlink>
      <w:r w:rsidRPr="00022E10">
        <w:rPr>
          <w:color w:val="000000"/>
        </w:rPr>
        <w:t xml:space="preserve"> for additional information. </w:t>
      </w:r>
    </w:p>
    <w:p w14:paraId="4C81620E" w14:textId="77777777" w:rsidR="00E60B32" w:rsidRPr="00022E10" w:rsidRDefault="00E60B32" w:rsidP="00193BB0">
      <w:pPr>
        <w:rPr>
          <w:iCs/>
        </w:rPr>
      </w:pPr>
    </w:p>
    <w:p w14:paraId="5B15C1CE" w14:textId="24DF964B" w:rsidR="00E60B32" w:rsidRPr="008113A7" w:rsidRDefault="00E60B32" w:rsidP="00AF5490">
      <w:pPr>
        <w:rPr>
          <w:iCs/>
        </w:rPr>
      </w:pPr>
      <w:r w:rsidRPr="00022E10">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022E10">
        <w:rPr>
          <w:iCs/>
          <w:vertAlign w:val="superscript"/>
        </w:rPr>
        <w:t>®</w:t>
      </w:r>
      <w:r w:rsidRPr="00022E10">
        <w:rPr>
          <w:iCs/>
        </w:rPr>
        <w:t xml:space="preserve"> and Centene Corporation</w:t>
      </w:r>
      <w:r w:rsidRPr="00022E10">
        <w:rPr>
          <w:iCs/>
          <w:vertAlign w:val="superscript"/>
        </w:rPr>
        <w:t>®</w:t>
      </w:r>
      <w:r w:rsidRPr="00022E10">
        <w:rPr>
          <w:iCs/>
        </w:rPr>
        <w:t xml:space="preserve"> are registered trademarks exclusively owned by Centene Corporation.</w:t>
      </w:r>
    </w:p>
    <w:sectPr w:rsidR="00E60B32" w:rsidRPr="008113A7" w:rsidSect="00066226">
      <w:type w:val="continuous"/>
      <w:pgSz w:w="12240" w:h="15840" w:code="1"/>
      <w:pgMar w:top="153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7E35" w14:textId="77777777" w:rsidR="001C0356" w:rsidRDefault="001C0356">
      <w:r>
        <w:separator/>
      </w:r>
    </w:p>
  </w:endnote>
  <w:endnote w:type="continuationSeparator" w:id="0">
    <w:p w14:paraId="2B201112" w14:textId="77777777" w:rsidR="001C0356" w:rsidRDefault="001C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65FC" w14:textId="77777777" w:rsidR="00E60B32" w:rsidRPr="00D574CA" w:rsidRDefault="00E60B32" w:rsidP="00D574C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B671" w14:textId="0716B30E" w:rsidR="00E60B32" w:rsidRDefault="00E60B32" w:rsidP="002C6AAB">
    <w:pPr>
      <w:pStyle w:val="Footer"/>
      <w:jc w:val="center"/>
    </w:pPr>
    <w:r>
      <w:t xml:space="preserve">Page </w:t>
    </w:r>
    <w:r w:rsidR="001C0356">
      <w:fldChar w:fldCharType="begin"/>
    </w:r>
    <w:r w:rsidR="001C0356">
      <w:instrText xml:space="preserve"> PAGE   \* MERGEFORMAT </w:instrText>
    </w:r>
    <w:r w:rsidR="001C0356">
      <w:fldChar w:fldCharType="separate"/>
    </w:r>
    <w:r w:rsidR="00F9484D">
      <w:rPr>
        <w:noProof/>
      </w:rPr>
      <w:t>1</w:t>
    </w:r>
    <w:r w:rsidR="001C0356">
      <w:rPr>
        <w:noProof/>
      </w:rPr>
      <w:fldChar w:fldCharType="end"/>
    </w:r>
    <w:r>
      <w:t xml:space="preserve"> of </w:t>
    </w:r>
    <w:r w:rsidR="00D60D82">
      <w:rPr>
        <w:noProof/>
      </w:rPr>
      <w:fldChar w:fldCharType="begin"/>
    </w:r>
    <w:r w:rsidR="00D60D82">
      <w:rPr>
        <w:noProof/>
      </w:rPr>
      <w:instrText xml:space="preserve"> NUMPAGES   \* MERGEFORMAT </w:instrText>
    </w:r>
    <w:r w:rsidR="00D60D82">
      <w:rPr>
        <w:noProof/>
      </w:rPr>
      <w:fldChar w:fldCharType="separate"/>
    </w:r>
    <w:r w:rsidR="00F9484D">
      <w:rPr>
        <w:noProof/>
      </w:rPr>
      <w:t>8</w:t>
    </w:r>
    <w:r w:rsidR="00D60D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3B8C" w14:textId="4EA03F29" w:rsidR="00E60B32" w:rsidRPr="00066226" w:rsidRDefault="00E60B32" w:rsidP="00066226">
    <w:pPr>
      <w:pStyle w:val="Footer"/>
      <w:jc w:val="center"/>
    </w:pPr>
    <w:r>
      <w:t xml:space="preserve">Page </w:t>
    </w:r>
    <w:r>
      <w:rPr>
        <w:b/>
        <w:bCs/>
      </w:rPr>
      <w:fldChar w:fldCharType="begin"/>
    </w:r>
    <w:r>
      <w:rPr>
        <w:b/>
        <w:bCs/>
      </w:rPr>
      <w:instrText xml:space="preserve"> PAGE </w:instrText>
    </w:r>
    <w:r>
      <w:rPr>
        <w:b/>
        <w:bCs/>
      </w:rPr>
      <w:fldChar w:fldCharType="separate"/>
    </w:r>
    <w:r w:rsidR="00F9484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9484D">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08FF" w14:textId="77777777" w:rsidR="001C0356" w:rsidRDefault="001C0356">
      <w:r>
        <w:separator/>
      </w:r>
    </w:p>
  </w:footnote>
  <w:footnote w:type="continuationSeparator" w:id="0">
    <w:p w14:paraId="0E609FC7" w14:textId="77777777" w:rsidR="001C0356" w:rsidRDefault="001C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4C30" w14:textId="0111EF73" w:rsidR="00E60B32" w:rsidRPr="00B777AF" w:rsidRDefault="00E60B32"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FF458F">
      <w:rPr>
        <w:noProof/>
        <w:color w:val="00548C"/>
      </w:rPr>
      <w:drawing>
        <wp:inline distT="0" distB="0" distL="0" distR="0" wp14:anchorId="02FCAF18" wp14:editId="25BDE549">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14F48C4E" w14:textId="77777777" w:rsidR="00E60B32" w:rsidRPr="00B777AF" w:rsidRDefault="00E60B32" w:rsidP="00B777AF">
    <w:pPr>
      <w:rPr>
        <w:color w:val="00548C"/>
      </w:rPr>
    </w:pPr>
    <w:r>
      <w:rPr>
        <w:rFonts w:ascii="Times New Roman Bold" w:hAnsi="Times New Roman Bold"/>
        <w:b/>
        <w:bCs/>
        <w:color w:val="00548C"/>
      </w:rPr>
      <w:t>POLICYTITLE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93D4" w14:textId="52BC52F3" w:rsidR="00E60B32" w:rsidRDefault="00FF458F" w:rsidP="00B777AF">
    <w:pPr>
      <w:pStyle w:val="Header"/>
      <w:jc w:val="right"/>
    </w:pPr>
    <w:r>
      <w:rPr>
        <w:noProof/>
      </w:rPr>
      <w:drawing>
        <wp:inline distT="0" distB="0" distL="0" distR="0" wp14:anchorId="32D5EB39" wp14:editId="4F2B7F37">
          <wp:extent cx="1362075" cy="333375"/>
          <wp:effectExtent l="0" t="0" r="9525"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0911" w14:textId="0596D62B" w:rsidR="00E60B32" w:rsidRPr="00B777AF" w:rsidRDefault="00E60B32" w:rsidP="00066226">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FF458F">
      <w:rPr>
        <w:noProof/>
        <w:color w:val="00548C"/>
      </w:rPr>
      <w:drawing>
        <wp:inline distT="0" distB="0" distL="0" distR="0" wp14:anchorId="53ADAE15" wp14:editId="45A27CB4">
          <wp:extent cx="904875" cy="238125"/>
          <wp:effectExtent l="0" t="0" r="9525" b="9525"/>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3ABC7691" w14:textId="77777777" w:rsidR="00E60B32" w:rsidRPr="00066226" w:rsidRDefault="00E60B32" w:rsidP="00066226">
    <w:pPr>
      <w:rPr>
        <w:color w:val="00548C"/>
      </w:rPr>
    </w:pPr>
    <w:r>
      <w:rPr>
        <w:rFonts w:ascii="Times New Roman Bold" w:hAnsi="Times New Roman Bold"/>
        <w:b/>
        <w:bCs/>
        <w:color w:val="00548C"/>
      </w:rPr>
      <w:t xml:space="preserve">Intestinal and </w:t>
    </w:r>
    <w:proofErr w:type="spellStart"/>
    <w:r>
      <w:rPr>
        <w:rFonts w:ascii="Times New Roman Bold" w:hAnsi="Times New Roman Bold"/>
        <w:b/>
        <w:bCs/>
        <w:color w:val="00548C"/>
      </w:rPr>
      <w:t>Multivisceral</w:t>
    </w:r>
    <w:proofErr w:type="spellEnd"/>
    <w:r>
      <w:rPr>
        <w:rFonts w:ascii="Times New Roman Bold" w:hAnsi="Times New Roman Bold"/>
        <w:b/>
        <w:bCs/>
        <w:color w:val="00548C"/>
      </w:rPr>
      <w:t xml:space="preserve"> Transplant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1290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531F6"/>
    <w:multiLevelType w:val="hybridMultilevel"/>
    <w:tmpl w:val="93CEAC7A"/>
    <w:lvl w:ilvl="0" w:tplc="04090015">
      <w:start w:val="1"/>
      <w:numFmt w:val="upperLetter"/>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666EE"/>
    <w:multiLevelType w:val="multilevel"/>
    <w:tmpl w:val="2EC8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2594C"/>
    <w:multiLevelType w:val="hybridMultilevel"/>
    <w:tmpl w:val="4906F5B0"/>
    <w:lvl w:ilvl="0" w:tplc="1C949FA0">
      <w:start w:val="1"/>
      <w:numFmt w:val="decimal"/>
      <w:lvlText w:val="%1."/>
      <w:lvlJc w:val="left"/>
      <w:pPr>
        <w:ind w:left="1800" w:hanging="360"/>
      </w:pPr>
      <w:rPr>
        <w:rFonts w:cs="Times New Roman"/>
        <w:b w:val="0"/>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5297E9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5EED"/>
    <w:multiLevelType w:val="hybridMultilevel"/>
    <w:tmpl w:val="DC7861A0"/>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4C4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2854958"/>
    <w:multiLevelType w:val="hybridMultilevel"/>
    <w:tmpl w:val="DB08451C"/>
    <w:lvl w:ilvl="0" w:tplc="29B2F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9"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A8C3A65"/>
    <w:multiLevelType w:val="hybridMultilevel"/>
    <w:tmpl w:val="5C00CBE8"/>
    <w:lvl w:ilvl="0" w:tplc="FDC8796E">
      <w:start w:val="1"/>
      <w:numFmt w:val="decimal"/>
      <w:lvlText w:val="%1."/>
      <w:lvlJc w:val="left"/>
      <w:pPr>
        <w:tabs>
          <w:tab w:val="num" w:pos="450"/>
        </w:tabs>
        <w:ind w:left="450" w:hanging="360"/>
      </w:pPr>
      <w:rPr>
        <w:rFonts w:ascii="Times New Roman" w:hAnsi="Times New Roman" w:cs="Times New Roman" w:hint="default"/>
        <w:b w:val="0"/>
        <w:i w:val="0"/>
        <w:color w:val="00000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C3C97"/>
    <w:multiLevelType w:val="hybridMultilevel"/>
    <w:tmpl w:val="51B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6857E7B"/>
    <w:multiLevelType w:val="hybridMultilevel"/>
    <w:tmpl w:val="31C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235BD"/>
    <w:multiLevelType w:val="hybridMultilevel"/>
    <w:tmpl w:val="8B9A087C"/>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5346E"/>
    <w:multiLevelType w:val="multilevel"/>
    <w:tmpl w:val="2A1274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21A3B54"/>
    <w:multiLevelType w:val="hybridMultilevel"/>
    <w:tmpl w:val="7C62416E"/>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9DE24C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2"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6F8A4791"/>
    <w:multiLevelType w:val="hybridMultilevel"/>
    <w:tmpl w:val="C69AAE6C"/>
    <w:lvl w:ilvl="0" w:tplc="D550095A">
      <w:start w:val="1"/>
      <w:numFmt w:val="upperLetter"/>
      <w:lvlText w:val="%1."/>
      <w:lvlJc w:val="left"/>
      <w:pPr>
        <w:ind w:left="1080" w:hanging="360"/>
      </w:pPr>
      <w:rPr>
        <w:rFonts w:cs="Times New Roman"/>
        <w:b/>
      </w:rPr>
    </w:lvl>
    <w:lvl w:ilvl="1" w:tplc="0409000F">
      <w:start w:val="1"/>
      <w:numFmt w:val="decimal"/>
      <w:lvlText w:val="%2."/>
      <w:lvlJc w:val="left"/>
      <w:pPr>
        <w:ind w:left="4050" w:hanging="360"/>
      </w:pPr>
      <w:rPr>
        <w:rFonts w:cs="Times New Roman" w:hint="default"/>
        <w:b w:val="0"/>
      </w:rPr>
    </w:lvl>
    <w:lvl w:ilvl="2" w:tplc="17964EE6">
      <w:start w:val="1"/>
      <w:numFmt w:val="lowerLetter"/>
      <w:lvlText w:val="%3."/>
      <w:lvlJc w:val="left"/>
      <w:pPr>
        <w:ind w:left="1350" w:hanging="180"/>
      </w:pPr>
      <w:rPr>
        <w:rFonts w:cs="Times New Roman"/>
        <w:b w:val="0"/>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D167760"/>
    <w:multiLevelType w:val="multilevel"/>
    <w:tmpl w:val="F80692C6"/>
    <w:lvl w:ilvl="0">
      <w:start w:val="1"/>
      <w:numFmt w:val="decimal"/>
      <w:lvlText w:val="%1."/>
      <w:lvlJc w:val="left"/>
      <w:pPr>
        <w:tabs>
          <w:tab w:val="num" w:pos="2160"/>
        </w:tabs>
        <w:ind w:left="2160" w:hanging="360"/>
      </w:pPr>
      <w:rPr>
        <w:rFonts w:cs="Times New Roman" w:hint="default"/>
        <w:sz w:val="24"/>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6"/>
  </w:num>
  <w:num w:numId="8">
    <w:abstractNumId w:val="2"/>
  </w:num>
  <w:num w:numId="9">
    <w:abstractNumId w:val="14"/>
  </w:num>
  <w:num w:numId="10">
    <w:abstractNumId w:val="18"/>
  </w:num>
  <w:num w:numId="11">
    <w:abstractNumId w:val="19"/>
  </w:num>
  <w:num w:numId="12">
    <w:abstractNumId w:val="29"/>
  </w:num>
  <w:num w:numId="13">
    <w:abstractNumId w:val="30"/>
  </w:num>
  <w:num w:numId="14">
    <w:abstractNumId w:val="5"/>
  </w:num>
  <w:num w:numId="15">
    <w:abstractNumId w:val="23"/>
  </w:num>
  <w:num w:numId="16">
    <w:abstractNumId w:val="11"/>
  </w:num>
  <w:num w:numId="17">
    <w:abstractNumId w:val="35"/>
  </w:num>
  <w:num w:numId="18">
    <w:abstractNumId w:val="17"/>
  </w:num>
  <w:num w:numId="19">
    <w:abstractNumId w:val="15"/>
  </w:num>
  <w:num w:numId="20">
    <w:abstractNumId w:val="8"/>
  </w:num>
  <w:num w:numId="21">
    <w:abstractNumId w:val="12"/>
  </w:num>
  <w:num w:numId="22">
    <w:abstractNumId w:val="32"/>
  </w:num>
  <w:num w:numId="23">
    <w:abstractNumId w:val="24"/>
  </w:num>
  <w:num w:numId="24">
    <w:abstractNumId w:val="21"/>
  </w:num>
  <w:num w:numId="25">
    <w:abstractNumId w:val="10"/>
  </w:num>
  <w:num w:numId="26">
    <w:abstractNumId w:val="6"/>
  </w:num>
  <w:num w:numId="27">
    <w:abstractNumId w:val="25"/>
  </w:num>
  <w:num w:numId="28">
    <w:abstractNumId w:val="1"/>
  </w:num>
  <w:num w:numId="29">
    <w:abstractNumId w:val="13"/>
  </w:num>
  <w:num w:numId="30">
    <w:abstractNumId w:val="7"/>
  </w:num>
  <w:num w:numId="31">
    <w:abstractNumId w:val="28"/>
  </w:num>
  <w:num w:numId="32">
    <w:abstractNumId w:val="33"/>
  </w:num>
  <w:num w:numId="33">
    <w:abstractNumId w:val="3"/>
    <w:lvlOverride w:ilvl="0">
      <w:lvl w:ilvl="0">
        <w:start w:val="1"/>
        <w:numFmt w:val="upp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34"/>
  </w:num>
  <w:num w:numId="35">
    <w:abstractNumId w:val="22"/>
  </w:num>
  <w:num w:numId="36">
    <w:abstractNumId w:val="26"/>
  </w:num>
  <w:num w:numId="37">
    <w:abstractNumId w:val="4"/>
  </w:num>
  <w:num w:numId="38">
    <w:abstractNumId w:val="27"/>
  </w:num>
  <w:num w:numId="39">
    <w:abstractNumId w:val="9"/>
  </w:num>
  <w:num w:numId="40">
    <w:abstractNumId w:val="31"/>
  </w:num>
  <w:num w:numId="41">
    <w:abstractNumId w:val="0"/>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2E10"/>
    <w:rsid w:val="000240B3"/>
    <w:rsid w:val="00032D3F"/>
    <w:rsid w:val="000465DE"/>
    <w:rsid w:val="0004733E"/>
    <w:rsid w:val="00055A5E"/>
    <w:rsid w:val="00060509"/>
    <w:rsid w:val="00066226"/>
    <w:rsid w:val="00083740"/>
    <w:rsid w:val="00094136"/>
    <w:rsid w:val="000942C0"/>
    <w:rsid w:val="000A70F5"/>
    <w:rsid w:val="000B02E5"/>
    <w:rsid w:val="000D38E8"/>
    <w:rsid w:val="000F10C2"/>
    <w:rsid w:val="000F6F30"/>
    <w:rsid w:val="001078FE"/>
    <w:rsid w:val="001148A8"/>
    <w:rsid w:val="00120966"/>
    <w:rsid w:val="001405C2"/>
    <w:rsid w:val="0014316D"/>
    <w:rsid w:val="00146328"/>
    <w:rsid w:val="00165144"/>
    <w:rsid w:val="00170B14"/>
    <w:rsid w:val="001818D7"/>
    <w:rsid w:val="001831C1"/>
    <w:rsid w:val="00185104"/>
    <w:rsid w:val="00191044"/>
    <w:rsid w:val="00193BB0"/>
    <w:rsid w:val="001962BE"/>
    <w:rsid w:val="00196689"/>
    <w:rsid w:val="00196935"/>
    <w:rsid w:val="0019746F"/>
    <w:rsid w:val="001B0A2B"/>
    <w:rsid w:val="001C0356"/>
    <w:rsid w:val="001C110C"/>
    <w:rsid w:val="001C2593"/>
    <w:rsid w:val="001C4A28"/>
    <w:rsid w:val="001C7449"/>
    <w:rsid w:val="001D0D34"/>
    <w:rsid w:val="001D70D4"/>
    <w:rsid w:val="001E4112"/>
    <w:rsid w:val="001E7D12"/>
    <w:rsid w:val="00206142"/>
    <w:rsid w:val="0020675F"/>
    <w:rsid w:val="00206CC9"/>
    <w:rsid w:val="00215844"/>
    <w:rsid w:val="002163BD"/>
    <w:rsid w:val="00220736"/>
    <w:rsid w:val="00230FE4"/>
    <w:rsid w:val="00233651"/>
    <w:rsid w:val="00245229"/>
    <w:rsid w:val="00254020"/>
    <w:rsid w:val="0025452A"/>
    <w:rsid w:val="0026722E"/>
    <w:rsid w:val="00277670"/>
    <w:rsid w:val="002815F0"/>
    <w:rsid w:val="00282EED"/>
    <w:rsid w:val="00285997"/>
    <w:rsid w:val="002A39EE"/>
    <w:rsid w:val="002B0582"/>
    <w:rsid w:val="002B6B02"/>
    <w:rsid w:val="002C1477"/>
    <w:rsid w:val="002C4EC0"/>
    <w:rsid w:val="002C6AAB"/>
    <w:rsid w:val="002D00C9"/>
    <w:rsid w:val="002D019A"/>
    <w:rsid w:val="002E48E7"/>
    <w:rsid w:val="002F073A"/>
    <w:rsid w:val="003049C3"/>
    <w:rsid w:val="003140D6"/>
    <w:rsid w:val="003178E2"/>
    <w:rsid w:val="003331BC"/>
    <w:rsid w:val="00336E37"/>
    <w:rsid w:val="00350270"/>
    <w:rsid w:val="00350F22"/>
    <w:rsid w:val="003840CC"/>
    <w:rsid w:val="003850EF"/>
    <w:rsid w:val="00394BCF"/>
    <w:rsid w:val="003A0929"/>
    <w:rsid w:val="003C4D63"/>
    <w:rsid w:val="003C6DD0"/>
    <w:rsid w:val="003D0326"/>
    <w:rsid w:val="003D093C"/>
    <w:rsid w:val="003D0D86"/>
    <w:rsid w:val="003D6912"/>
    <w:rsid w:val="003D7BE7"/>
    <w:rsid w:val="003E3A40"/>
    <w:rsid w:val="003E715E"/>
    <w:rsid w:val="003F3D44"/>
    <w:rsid w:val="00400E8E"/>
    <w:rsid w:val="0041390A"/>
    <w:rsid w:val="00460B8E"/>
    <w:rsid w:val="00470DB2"/>
    <w:rsid w:val="00472C6C"/>
    <w:rsid w:val="00480C09"/>
    <w:rsid w:val="00480E83"/>
    <w:rsid w:val="00493710"/>
    <w:rsid w:val="00496BCF"/>
    <w:rsid w:val="00496E51"/>
    <w:rsid w:val="00497AED"/>
    <w:rsid w:val="004A5004"/>
    <w:rsid w:val="004C64FD"/>
    <w:rsid w:val="004E0B99"/>
    <w:rsid w:val="004E4907"/>
    <w:rsid w:val="004F6394"/>
    <w:rsid w:val="00501BF3"/>
    <w:rsid w:val="00504673"/>
    <w:rsid w:val="005050F9"/>
    <w:rsid w:val="00505830"/>
    <w:rsid w:val="00507DC0"/>
    <w:rsid w:val="005103B8"/>
    <w:rsid w:val="005144C0"/>
    <w:rsid w:val="00531C04"/>
    <w:rsid w:val="005423D4"/>
    <w:rsid w:val="005537B0"/>
    <w:rsid w:val="005776FD"/>
    <w:rsid w:val="00583376"/>
    <w:rsid w:val="005A4567"/>
    <w:rsid w:val="005A61C8"/>
    <w:rsid w:val="005B0D3B"/>
    <w:rsid w:val="005B1773"/>
    <w:rsid w:val="005B452B"/>
    <w:rsid w:val="005C17DF"/>
    <w:rsid w:val="005C3607"/>
    <w:rsid w:val="005C3E45"/>
    <w:rsid w:val="005C57A6"/>
    <w:rsid w:val="005C69AB"/>
    <w:rsid w:val="005D009F"/>
    <w:rsid w:val="005D5146"/>
    <w:rsid w:val="005D6347"/>
    <w:rsid w:val="005D7B81"/>
    <w:rsid w:val="005E117C"/>
    <w:rsid w:val="005E1863"/>
    <w:rsid w:val="005E23E7"/>
    <w:rsid w:val="005E411E"/>
    <w:rsid w:val="005E607E"/>
    <w:rsid w:val="005F639D"/>
    <w:rsid w:val="00601843"/>
    <w:rsid w:val="006115DC"/>
    <w:rsid w:val="00614A29"/>
    <w:rsid w:val="00616EA4"/>
    <w:rsid w:val="0062546F"/>
    <w:rsid w:val="00642E9E"/>
    <w:rsid w:val="006474BB"/>
    <w:rsid w:val="006664E9"/>
    <w:rsid w:val="00682143"/>
    <w:rsid w:val="0068584E"/>
    <w:rsid w:val="006B5483"/>
    <w:rsid w:val="006C1160"/>
    <w:rsid w:val="006C74DF"/>
    <w:rsid w:val="006F176C"/>
    <w:rsid w:val="006F4D70"/>
    <w:rsid w:val="00702A69"/>
    <w:rsid w:val="0071777E"/>
    <w:rsid w:val="00725C12"/>
    <w:rsid w:val="00744250"/>
    <w:rsid w:val="0074711E"/>
    <w:rsid w:val="00753E92"/>
    <w:rsid w:val="0076145F"/>
    <w:rsid w:val="007764CE"/>
    <w:rsid w:val="0078511C"/>
    <w:rsid w:val="007A08FE"/>
    <w:rsid w:val="007A0BCC"/>
    <w:rsid w:val="007B07AE"/>
    <w:rsid w:val="007B50D0"/>
    <w:rsid w:val="007D4801"/>
    <w:rsid w:val="007D565B"/>
    <w:rsid w:val="007E6295"/>
    <w:rsid w:val="007E71D2"/>
    <w:rsid w:val="007F1447"/>
    <w:rsid w:val="007F1F19"/>
    <w:rsid w:val="007F78D4"/>
    <w:rsid w:val="008050C5"/>
    <w:rsid w:val="00805D0D"/>
    <w:rsid w:val="008113A7"/>
    <w:rsid w:val="008231C5"/>
    <w:rsid w:val="008239A8"/>
    <w:rsid w:val="0084553A"/>
    <w:rsid w:val="00852F36"/>
    <w:rsid w:val="008573C6"/>
    <w:rsid w:val="00857C10"/>
    <w:rsid w:val="00875924"/>
    <w:rsid w:val="00877EC7"/>
    <w:rsid w:val="00896E94"/>
    <w:rsid w:val="008B0186"/>
    <w:rsid w:val="008B0705"/>
    <w:rsid w:val="008C6B3A"/>
    <w:rsid w:val="008D7ED0"/>
    <w:rsid w:val="008E4CD3"/>
    <w:rsid w:val="00902C9B"/>
    <w:rsid w:val="00904C67"/>
    <w:rsid w:val="009135E0"/>
    <w:rsid w:val="00915CA4"/>
    <w:rsid w:val="00933092"/>
    <w:rsid w:val="00950820"/>
    <w:rsid w:val="0095467A"/>
    <w:rsid w:val="00961071"/>
    <w:rsid w:val="00963062"/>
    <w:rsid w:val="0096651E"/>
    <w:rsid w:val="0096779C"/>
    <w:rsid w:val="00972651"/>
    <w:rsid w:val="009735FA"/>
    <w:rsid w:val="00977ECA"/>
    <w:rsid w:val="00982180"/>
    <w:rsid w:val="009928B2"/>
    <w:rsid w:val="009B10B3"/>
    <w:rsid w:val="009C61B2"/>
    <w:rsid w:val="009C7F73"/>
    <w:rsid w:val="009D5928"/>
    <w:rsid w:val="009E5E01"/>
    <w:rsid w:val="009E6F29"/>
    <w:rsid w:val="00A05AF8"/>
    <w:rsid w:val="00A20F73"/>
    <w:rsid w:val="00A41969"/>
    <w:rsid w:val="00A4552A"/>
    <w:rsid w:val="00A60413"/>
    <w:rsid w:val="00A83658"/>
    <w:rsid w:val="00A85489"/>
    <w:rsid w:val="00A87B1F"/>
    <w:rsid w:val="00A9258C"/>
    <w:rsid w:val="00A92D1A"/>
    <w:rsid w:val="00AA336E"/>
    <w:rsid w:val="00AA428E"/>
    <w:rsid w:val="00AA730F"/>
    <w:rsid w:val="00AD1AA6"/>
    <w:rsid w:val="00AF1F2A"/>
    <w:rsid w:val="00AF30EF"/>
    <w:rsid w:val="00AF5490"/>
    <w:rsid w:val="00AF618A"/>
    <w:rsid w:val="00B14C1A"/>
    <w:rsid w:val="00B21761"/>
    <w:rsid w:val="00B255C7"/>
    <w:rsid w:val="00B4633B"/>
    <w:rsid w:val="00B50F91"/>
    <w:rsid w:val="00B57076"/>
    <w:rsid w:val="00B61A17"/>
    <w:rsid w:val="00B64C22"/>
    <w:rsid w:val="00B732C6"/>
    <w:rsid w:val="00B777AF"/>
    <w:rsid w:val="00B81789"/>
    <w:rsid w:val="00B83287"/>
    <w:rsid w:val="00B87182"/>
    <w:rsid w:val="00B92DF1"/>
    <w:rsid w:val="00B9509F"/>
    <w:rsid w:val="00BA077A"/>
    <w:rsid w:val="00BF4150"/>
    <w:rsid w:val="00BF7541"/>
    <w:rsid w:val="00C01AA6"/>
    <w:rsid w:val="00C06257"/>
    <w:rsid w:val="00C079B0"/>
    <w:rsid w:val="00C1402A"/>
    <w:rsid w:val="00C14250"/>
    <w:rsid w:val="00C2297C"/>
    <w:rsid w:val="00C237E0"/>
    <w:rsid w:val="00C24EA4"/>
    <w:rsid w:val="00C32160"/>
    <w:rsid w:val="00C627FB"/>
    <w:rsid w:val="00C64BB4"/>
    <w:rsid w:val="00C662CC"/>
    <w:rsid w:val="00C73CF5"/>
    <w:rsid w:val="00C75BD4"/>
    <w:rsid w:val="00C96847"/>
    <w:rsid w:val="00C97D14"/>
    <w:rsid w:val="00CA53B9"/>
    <w:rsid w:val="00CA5C08"/>
    <w:rsid w:val="00CD4E4B"/>
    <w:rsid w:val="00CE3E82"/>
    <w:rsid w:val="00CE5209"/>
    <w:rsid w:val="00CF2624"/>
    <w:rsid w:val="00CF3392"/>
    <w:rsid w:val="00CF7A0B"/>
    <w:rsid w:val="00D0511B"/>
    <w:rsid w:val="00D14418"/>
    <w:rsid w:val="00D15AEB"/>
    <w:rsid w:val="00D3257E"/>
    <w:rsid w:val="00D35F29"/>
    <w:rsid w:val="00D36448"/>
    <w:rsid w:val="00D52F51"/>
    <w:rsid w:val="00D574CA"/>
    <w:rsid w:val="00D60D82"/>
    <w:rsid w:val="00D62661"/>
    <w:rsid w:val="00D71BC4"/>
    <w:rsid w:val="00D757A0"/>
    <w:rsid w:val="00D8524E"/>
    <w:rsid w:val="00DA531E"/>
    <w:rsid w:val="00DB1DE9"/>
    <w:rsid w:val="00DB7073"/>
    <w:rsid w:val="00DD025A"/>
    <w:rsid w:val="00DD5801"/>
    <w:rsid w:val="00DD6ADB"/>
    <w:rsid w:val="00DD7D7A"/>
    <w:rsid w:val="00DE18E2"/>
    <w:rsid w:val="00DE481C"/>
    <w:rsid w:val="00DF2CBD"/>
    <w:rsid w:val="00E06D9F"/>
    <w:rsid w:val="00E17A0C"/>
    <w:rsid w:val="00E43F41"/>
    <w:rsid w:val="00E60B32"/>
    <w:rsid w:val="00E61EA8"/>
    <w:rsid w:val="00E7516C"/>
    <w:rsid w:val="00E97C17"/>
    <w:rsid w:val="00EA3809"/>
    <w:rsid w:val="00EA5DFC"/>
    <w:rsid w:val="00ED0150"/>
    <w:rsid w:val="00ED0A0D"/>
    <w:rsid w:val="00F03DC0"/>
    <w:rsid w:val="00F2705D"/>
    <w:rsid w:val="00F3168D"/>
    <w:rsid w:val="00F346AF"/>
    <w:rsid w:val="00F40660"/>
    <w:rsid w:val="00F422E1"/>
    <w:rsid w:val="00F42F02"/>
    <w:rsid w:val="00F5238C"/>
    <w:rsid w:val="00F55190"/>
    <w:rsid w:val="00F67BBD"/>
    <w:rsid w:val="00F71F8E"/>
    <w:rsid w:val="00F74762"/>
    <w:rsid w:val="00F825E4"/>
    <w:rsid w:val="00F9484D"/>
    <w:rsid w:val="00F95133"/>
    <w:rsid w:val="00FB0592"/>
    <w:rsid w:val="00FB139B"/>
    <w:rsid w:val="00FB6F07"/>
    <w:rsid w:val="00FC3ECE"/>
    <w:rsid w:val="00FE290A"/>
    <w:rsid w:val="00FE5C3C"/>
    <w:rsid w:val="00FF45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DBA6875"/>
  <w15:docId w15:val="{19F4E9F4-2050-4C61-A4D0-88703E97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86"/>
    <w:rPr>
      <w:sz w:val="24"/>
      <w:szCs w:val="24"/>
    </w:rPr>
  </w:style>
  <w:style w:type="paragraph" w:styleId="Heading1">
    <w:name w:val="heading 1"/>
    <w:basedOn w:val="Normal"/>
    <w:next w:val="Normal"/>
    <w:link w:val="Heading1Char"/>
    <w:uiPriority w:val="99"/>
    <w:qFormat/>
    <w:rsid w:val="008B0186"/>
    <w:pPr>
      <w:keepNext/>
      <w:outlineLvl w:val="0"/>
    </w:pPr>
    <w:rPr>
      <w:b/>
      <w:bCs/>
      <w:sz w:val="20"/>
      <w:szCs w:val="12"/>
    </w:rPr>
  </w:style>
  <w:style w:type="paragraph" w:styleId="Heading2">
    <w:name w:val="heading 2"/>
    <w:basedOn w:val="Normal"/>
    <w:next w:val="Normal"/>
    <w:link w:val="Heading2Char"/>
    <w:uiPriority w:val="99"/>
    <w:qFormat/>
    <w:rsid w:val="008B0186"/>
    <w:pPr>
      <w:keepNext/>
      <w:outlineLvl w:val="1"/>
    </w:pPr>
    <w:rPr>
      <w:b/>
      <w:bCs/>
      <w:u w:val="single"/>
    </w:rPr>
  </w:style>
  <w:style w:type="paragraph" w:styleId="Heading3">
    <w:name w:val="heading 3"/>
    <w:basedOn w:val="Normal"/>
    <w:next w:val="Normal"/>
    <w:link w:val="Heading3Char"/>
    <w:uiPriority w:val="99"/>
    <w:qFormat/>
    <w:rsid w:val="008B0186"/>
    <w:pPr>
      <w:keepNext/>
      <w:outlineLvl w:val="2"/>
    </w:pPr>
    <w:rPr>
      <w:b/>
      <w:bCs/>
    </w:rPr>
  </w:style>
  <w:style w:type="paragraph" w:styleId="Heading4">
    <w:name w:val="heading 4"/>
    <w:basedOn w:val="Normal"/>
    <w:next w:val="Normal"/>
    <w:link w:val="Heading4Char"/>
    <w:uiPriority w:val="99"/>
    <w:qFormat/>
    <w:rsid w:val="008B0186"/>
    <w:pPr>
      <w:keepNext/>
      <w:jc w:val="center"/>
      <w:outlineLvl w:val="3"/>
    </w:pPr>
    <w:rPr>
      <w:b/>
      <w:bCs/>
    </w:rPr>
  </w:style>
  <w:style w:type="paragraph" w:styleId="Heading5">
    <w:name w:val="heading 5"/>
    <w:basedOn w:val="Normal"/>
    <w:next w:val="Normal"/>
    <w:link w:val="Heading5Char"/>
    <w:uiPriority w:val="99"/>
    <w:qFormat/>
    <w:rsid w:val="008B0186"/>
    <w:pPr>
      <w:keepNext/>
      <w:outlineLvl w:val="4"/>
    </w:pPr>
    <w:rPr>
      <w:b/>
      <w:szCs w:val="20"/>
    </w:rPr>
  </w:style>
  <w:style w:type="paragraph" w:styleId="Heading6">
    <w:name w:val="heading 6"/>
    <w:basedOn w:val="Normal"/>
    <w:next w:val="Normal"/>
    <w:link w:val="Heading6Char"/>
    <w:uiPriority w:val="99"/>
    <w:qFormat/>
    <w:rsid w:val="008B0186"/>
    <w:pPr>
      <w:keepNext/>
      <w:tabs>
        <w:tab w:val="num" w:pos="0"/>
      </w:tabs>
      <w:jc w:val="center"/>
      <w:outlineLvl w:val="5"/>
    </w:pPr>
    <w:rPr>
      <w:b/>
      <w:szCs w:val="20"/>
    </w:rPr>
  </w:style>
  <w:style w:type="paragraph" w:styleId="Heading7">
    <w:name w:val="heading 7"/>
    <w:basedOn w:val="Normal"/>
    <w:next w:val="Normal"/>
    <w:link w:val="Heading7Char"/>
    <w:uiPriority w:val="99"/>
    <w:qFormat/>
    <w:rsid w:val="008B0186"/>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5D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115D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115D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115D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115D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115DC"/>
    <w:rPr>
      <w:rFonts w:ascii="Calibri" w:hAnsi="Calibri" w:cs="Times New Roman"/>
      <w:b/>
      <w:bCs/>
    </w:rPr>
  </w:style>
  <w:style w:type="character" w:customStyle="1" w:styleId="Heading7Char">
    <w:name w:val="Heading 7 Char"/>
    <w:basedOn w:val="DefaultParagraphFont"/>
    <w:link w:val="Heading7"/>
    <w:uiPriority w:val="99"/>
    <w:semiHidden/>
    <w:locked/>
    <w:rsid w:val="006115DC"/>
    <w:rPr>
      <w:rFonts w:ascii="Calibri" w:hAnsi="Calibri" w:cs="Times New Roman"/>
      <w:sz w:val="24"/>
      <w:szCs w:val="24"/>
    </w:rPr>
  </w:style>
  <w:style w:type="paragraph" w:styleId="Header">
    <w:name w:val="header"/>
    <w:basedOn w:val="Normal"/>
    <w:link w:val="HeaderChar"/>
    <w:uiPriority w:val="99"/>
    <w:rsid w:val="008B0186"/>
    <w:pPr>
      <w:tabs>
        <w:tab w:val="center" w:pos="4320"/>
        <w:tab w:val="right" w:pos="8640"/>
      </w:tabs>
    </w:pPr>
  </w:style>
  <w:style w:type="character" w:customStyle="1" w:styleId="HeaderChar">
    <w:name w:val="Header Char"/>
    <w:basedOn w:val="DefaultParagraphFont"/>
    <w:link w:val="Header"/>
    <w:uiPriority w:val="99"/>
    <w:semiHidden/>
    <w:locked/>
    <w:rsid w:val="006115DC"/>
    <w:rPr>
      <w:rFonts w:cs="Times New Roman"/>
      <w:sz w:val="24"/>
      <w:szCs w:val="24"/>
    </w:rPr>
  </w:style>
  <w:style w:type="paragraph" w:styleId="Footer">
    <w:name w:val="footer"/>
    <w:basedOn w:val="Normal"/>
    <w:link w:val="FooterChar"/>
    <w:uiPriority w:val="99"/>
    <w:rsid w:val="008B0186"/>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8B0186"/>
    <w:pPr>
      <w:jc w:val="center"/>
    </w:pPr>
    <w:rPr>
      <w:b/>
      <w:bCs/>
      <w:szCs w:val="20"/>
    </w:rPr>
  </w:style>
  <w:style w:type="character" w:customStyle="1" w:styleId="TitleChar">
    <w:name w:val="Title Char"/>
    <w:basedOn w:val="DefaultParagraphFont"/>
    <w:link w:val="Title"/>
    <w:uiPriority w:val="99"/>
    <w:locked/>
    <w:rsid w:val="006115DC"/>
    <w:rPr>
      <w:rFonts w:ascii="Cambria" w:hAnsi="Cambria" w:cs="Times New Roman"/>
      <w:b/>
      <w:bCs/>
      <w:kern w:val="28"/>
      <w:sz w:val="32"/>
      <w:szCs w:val="32"/>
    </w:rPr>
  </w:style>
  <w:style w:type="character" w:customStyle="1" w:styleId="EmailStyle20">
    <w:name w:val="EmailStyle20"/>
    <w:uiPriority w:val="99"/>
    <w:rsid w:val="008B0186"/>
    <w:rPr>
      <w:rFonts w:ascii="Arial" w:hAnsi="Arial"/>
      <w:color w:val="000000"/>
      <w:sz w:val="20"/>
    </w:rPr>
  </w:style>
  <w:style w:type="paragraph" w:styleId="NormalWeb">
    <w:name w:val="Normal (Web)"/>
    <w:basedOn w:val="Normal"/>
    <w:uiPriority w:val="99"/>
    <w:rsid w:val="008B0186"/>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8B0186"/>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5DC"/>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933092"/>
    <w:pPr>
      <w:ind w:left="720"/>
      <w:contextualSpacing/>
    </w:pPr>
  </w:style>
  <w:style w:type="character" w:customStyle="1" w:styleId="citation-abbreviation">
    <w:name w:val="citation-abbreviation"/>
    <w:uiPriority w:val="99"/>
    <w:rsid w:val="00D52F51"/>
  </w:style>
  <w:style w:type="character" w:customStyle="1" w:styleId="citation-publication-date">
    <w:name w:val="citation-publication-date"/>
    <w:uiPriority w:val="99"/>
    <w:rsid w:val="00D52F51"/>
  </w:style>
  <w:style w:type="character" w:customStyle="1" w:styleId="citation-volume">
    <w:name w:val="citation-volume"/>
    <w:uiPriority w:val="99"/>
    <w:rsid w:val="00D52F51"/>
  </w:style>
  <w:style w:type="character" w:customStyle="1" w:styleId="citation-issue">
    <w:name w:val="citation-issue"/>
    <w:uiPriority w:val="99"/>
    <w:rsid w:val="00D52F51"/>
  </w:style>
  <w:style w:type="character" w:customStyle="1" w:styleId="citation-flpages">
    <w:name w:val="citation-flpages"/>
    <w:uiPriority w:val="99"/>
    <w:rsid w:val="00D52F51"/>
  </w:style>
  <w:style w:type="paragraph" w:customStyle="1" w:styleId="Default">
    <w:name w:val="Default"/>
    <w:uiPriority w:val="99"/>
    <w:rsid w:val="009E5E01"/>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rsid w:val="00642E9E"/>
    <w:pPr>
      <w:numPr>
        <w:numId w:val="36"/>
      </w:numPr>
      <w:tabs>
        <w:tab w:val="num" w:pos="360"/>
      </w:tabs>
      <w:ind w:left="360"/>
      <w:contextualSpacing/>
    </w:pPr>
  </w:style>
  <w:style w:type="paragraph" w:styleId="Revision">
    <w:name w:val="Revision"/>
    <w:hidden/>
    <w:uiPriority w:val="99"/>
    <w:semiHidden/>
    <w:rsid w:val="00470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32140">
      <w:marLeft w:val="0"/>
      <w:marRight w:val="0"/>
      <w:marTop w:val="0"/>
      <w:marBottom w:val="0"/>
      <w:divBdr>
        <w:top w:val="none" w:sz="0" w:space="0" w:color="auto"/>
        <w:left w:val="none" w:sz="0" w:space="0" w:color="auto"/>
        <w:bottom w:val="none" w:sz="0" w:space="0" w:color="auto"/>
        <w:right w:val="none" w:sz="0" w:space="0" w:color="auto"/>
      </w:divBdr>
    </w:div>
    <w:div w:id="1974632143">
      <w:marLeft w:val="0"/>
      <w:marRight w:val="0"/>
      <w:marTop w:val="0"/>
      <w:marBottom w:val="0"/>
      <w:divBdr>
        <w:top w:val="none" w:sz="0" w:space="0" w:color="auto"/>
        <w:left w:val="none" w:sz="0" w:space="0" w:color="auto"/>
        <w:bottom w:val="none" w:sz="0" w:space="0" w:color="auto"/>
        <w:right w:val="none" w:sz="0" w:space="0" w:color="auto"/>
      </w:divBdr>
      <w:divsChild>
        <w:div w:id="1974632142">
          <w:marLeft w:val="0"/>
          <w:marRight w:val="0"/>
          <w:marTop w:val="0"/>
          <w:marBottom w:val="0"/>
          <w:divBdr>
            <w:top w:val="none" w:sz="0" w:space="0" w:color="auto"/>
            <w:left w:val="none" w:sz="0" w:space="0" w:color="auto"/>
            <w:bottom w:val="none" w:sz="0" w:space="0" w:color="auto"/>
            <w:right w:val="none" w:sz="0" w:space="0" w:color="auto"/>
          </w:divBdr>
        </w:div>
      </w:divsChild>
    </w:div>
    <w:div w:id="1974632144">
      <w:marLeft w:val="0"/>
      <w:marRight w:val="0"/>
      <w:marTop w:val="0"/>
      <w:marBottom w:val="0"/>
      <w:divBdr>
        <w:top w:val="none" w:sz="0" w:space="0" w:color="auto"/>
        <w:left w:val="none" w:sz="0" w:space="0" w:color="auto"/>
        <w:bottom w:val="none" w:sz="0" w:space="0" w:color="auto"/>
        <w:right w:val="none" w:sz="0" w:space="0" w:color="auto"/>
      </w:divBdr>
      <w:divsChild>
        <w:div w:id="1974632141">
          <w:marLeft w:val="0"/>
          <w:marRight w:val="0"/>
          <w:marTop w:val="0"/>
          <w:marBottom w:val="0"/>
          <w:divBdr>
            <w:top w:val="none" w:sz="0" w:space="0" w:color="auto"/>
            <w:left w:val="none" w:sz="0" w:space="0" w:color="auto"/>
            <w:bottom w:val="none" w:sz="0" w:space="0" w:color="auto"/>
            <w:right w:val="none" w:sz="0" w:space="0" w:color="auto"/>
          </w:divBdr>
        </w:div>
        <w:div w:id="1974632146">
          <w:marLeft w:val="0"/>
          <w:marRight w:val="0"/>
          <w:marTop w:val="0"/>
          <w:marBottom w:val="0"/>
          <w:divBdr>
            <w:top w:val="none" w:sz="0" w:space="0" w:color="auto"/>
            <w:left w:val="none" w:sz="0" w:space="0" w:color="auto"/>
            <w:bottom w:val="none" w:sz="0" w:space="0" w:color="auto"/>
            <w:right w:val="none" w:sz="0" w:space="0" w:color="auto"/>
          </w:divBdr>
        </w:div>
      </w:divsChild>
    </w:div>
    <w:div w:id="1974632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emedicine.medscape.com/article/1013915-overview%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edscape.com/viewpublication/76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hiv.va.gov/patient/diagnosis/labtests-single-page.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A27A-53FB-4B94-9E74-E3097378FD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A5736C-FDD4-4ACF-82C7-C457525982A6}">
  <ds:schemaRefs>
    <ds:schemaRef ds:uri="http://schemas.microsoft.com/sharepoint/v3/contenttype/forms"/>
  </ds:schemaRefs>
</ds:datastoreItem>
</file>

<file path=customXml/itemProps3.xml><?xml version="1.0" encoding="utf-8"?>
<ds:datastoreItem xmlns:ds="http://schemas.openxmlformats.org/officeDocument/2006/customXml" ds:itemID="{B6D664F2-F925-45CB-AC2E-F02A73FDF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4DBC8D-F0B0-46A3-9C98-DDE27D20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2719</Words>
  <Characters>17641</Characters>
  <Application>Microsoft Office Word</Application>
  <DocSecurity>0</DocSecurity>
  <Lines>352</Lines>
  <Paragraphs>160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2</cp:revision>
  <cp:lastPrinted>2016-08-12T14:27:00Z</cp:lastPrinted>
  <dcterms:created xsi:type="dcterms:W3CDTF">2019-06-27T12:39:00Z</dcterms:created>
  <dcterms:modified xsi:type="dcterms:W3CDTF">2019-06-27T12:39:00Z</dcterms:modified>
</cp:coreProperties>
</file>