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05E3F"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B65E1D">
        <w:rPr>
          <w:rFonts w:ascii="Times New Roman" w:hAnsi="Times New Roman"/>
          <w:color w:val="00548C"/>
          <w:sz w:val="36"/>
        </w:rPr>
        <w:t>Diagnostic Testing for Zika Virus</w:t>
      </w:r>
    </w:p>
    <w:p w14:paraId="5F1C8388"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46ED6221" w14:textId="0AFE8856" w:rsidR="00480C09" w:rsidRPr="003D7BE7" w:rsidRDefault="00D574CA" w:rsidP="002D1A6E">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9664D7">
        <w:rPr>
          <w:rFonts w:ascii="Times New Roman" w:hAnsi="Times New Roman"/>
          <w:color w:val="00548C"/>
          <w:sz w:val="24"/>
          <w:szCs w:val="24"/>
        </w:rPr>
        <w:t>111</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480C09" w:rsidRPr="003D7BE7">
        <w:rPr>
          <w:rFonts w:ascii="Times New Roman" w:hAnsi="Times New Roman"/>
          <w:color w:val="00548C"/>
          <w:sz w:val="24"/>
          <w:szCs w:val="24"/>
        </w:rPr>
        <w:tab/>
      </w:r>
      <w:r w:rsidR="007B50D0" w:rsidRPr="003D7BE7">
        <w:rPr>
          <w:rFonts w:ascii="Times New Roman" w:hAnsi="Times New Roman"/>
          <w:color w:val="00548C"/>
          <w:sz w:val="24"/>
          <w:szCs w:val="24"/>
        </w:rPr>
        <w:t xml:space="preserve"> </w:t>
      </w:r>
    </w:p>
    <w:p w14:paraId="1BDA562B" w14:textId="2682C5C6"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C03CF2">
        <w:rPr>
          <w:rFonts w:ascii="Times New Roman" w:hAnsi="Times New Roman"/>
          <w:color w:val="00548C"/>
          <w:sz w:val="24"/>
          <w:szCs w:val="24"/>
        </w:rPr>
        <w:t>0</w:t>
      </w:r>
      <w:r w:rsidR="000963F5">
        <w:rPr>
          <w:rFonts w:ascii="Times New Roman" w:hAnsi="Times New Roman"/>
          <w:color w:val="00548C"/>
          <w:sz w:val="24"/>
          <w:szCs w:val="24"/>
        </w:rPr>
        <w:t>5</w:t>
      </w:r>
      <w:r w:rsidR="00C03CF2">
        <w:rPr>
          <w:rFonts w:ascii="Times New Roman" w:hAnsi="Times New Roman"/>
          <w:color w:val="00548C"/>
          <w:sz w:val="24"/>
          <w:szCs w:val="24"/>
        </w:rPr>
        <w:t>/19</w:t>
      </w:r>
    </w:p>
    <w:p w14:paraId="222882B8" w14:textId="77777777" w:rsidR="00875924" w:rsidRDefault="00CE53BE"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072B912F"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2D6D5E5D"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57C9E8A8"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77EF4AD2" w14:textId="77777777" w:rsidR="00583376" w:rsidRPr="00B777AF" w:rsidRDefault="00583376">
      <w:pPr>
        <w:pStyle w:val="Heading2"/>
        <w:rPr>
          <w:u w:val="none"/>
        </w:rPr>
      </w:pPr>
      <w:r w:rsidRPr="00B777AF">
        <w:rPr>
          <w:u w:val="none"/>
        </w:rPr>
        <w:t xml:space="preserve">Description </w:t>
      </w:r>
    </w:p>
    <w:p w14:paraId="321659AB" w14:textId="26A95F8B" w:rsidR="00ED0A0D" w:rsidRDefault="006C5705" w:rsidP="00196935">
      <w:proofErr w:type="spellStart"/>
      <w:r>
        <w:t>Zika</w:t>
      </w:r>
      <w:proofErr w:type="spellEnd"/>
      <w:r>
        <w:t xml:space="preserve"> virus is a </w:t>
      </w:r>
      <w:proofErr w:type="spellStart"/>
      <w:r>
        <w:t>flavivirus</w:t>
      </w:r>
      <w:proofErr w:type="spellEnd"/>
      <w:r w:rsidR="00F05512">
        <w:t xml:space="preserve"> whose infection causes </w:t>
      </w:r>
      <w:proofErr w:type="spellStart"/>
      <w:r w:rsidR="00F05512">
        <w:t>Zika</w:t>
      </w:r>
      <w:proofErr w:type="spellEnd"/>
      <w:r w:rsidR="00F05512">
        <w:t xml:space="preserve"> virus disease</w:t>
      </w:r>
      <w:r w:rsidR="0027347E">
        <w:t>.</w:t>
      </w:r>
      <w:r w:rsidR="00DF283D">
        <w:t xml:space="preserve"> </w:t>
      </w:r>
      <w:r w:rsidR="00C03CF2">
        <w:t xml:space="preserve"> </w:t>
      </w:r>
      <w:r w:rsidR="00F05512">
        <w:t>The virus</w:t>
      </w:r>
      <w:r w:rsidR="00DF283D">
        <w:t xml:space="preserve"> is</w:t>
      </w:r>
      <w:r>
        <w:t xml:space="preserve"> </w:t>
      </w:r>
      <w:r w:rsidR="00DF283D">
        <w:t>primarily</w:t>
      </w:r>
      <w:r>
        <w:t xml:space="preserve"> transmitted by the bite of infected </w:t>
      </w:r>
      <w:proofErr w:type="spellStart"/>
      <w:r>
        <w:rPr>
          <w:i/>
        </w:rPr>
        <w:t>Aedes</w:t>
      </w:r>
      <w:proofErr w:type="spellEnd"/>
      <w:r>
        <w:rPr>
          <w:i/>
        </w:rPr>
        <w:t xml:space="preserve"> </w:t>
      </w:r>
      <w:r>
        <w:t xml:space="preserve">species mosquitoes.  </w:t>
      </w:r>
      <w:r w:rsidR="00C22CDB">
        <w:t xml:space="preserve">However, </w:t>
      </w:r>
      <w:proofErr w:type="spellStart"/>
      <w:r w:rsidR="00C22CDB">
        <w:t>Zika</w:t>
      </w:r>
      <w:proofErr w:type="spellEnd"/>
      <w:r w:rsidR="00C22CDB">
        <w:t xml:space="preserve"> virus </w:t>
      </w:r>
      <w:r>
        <w:t>can be sexually transmitted from an infec</w:t>
      </w:r>
      <w:r w:rsidR="0027347E">
        <w:t>ted man to his sexual partner</w:t>
      </w:r>
      <w:r w:rsidR="00C03CF2">
        <w:t>(</w:t>
      </w:r>
      <w:r w:rsidR="0027347E">
        <w:t>s</w:t>
      </w:r>
      <w:r w:rsidR="00C03CF2">
        <w:t>)</w:t>
      </w:r>
      <w:r w:rsidR="0027347E">
        <w:t>.</w:t>
      </w:r>
      <w:r>
        <w:t xml:space="preserve"> </w:t>
      </w:r>
      <w:r w:rsidR="00C03CF2">
        <w:t xml:space="preserve"> </w:t>
      </w:r>
      <w:r w:rsidR="0085741A">
        <w:t xml:space="preserve">While </w:t>
      </w:r>
      <w:proofErr w:type="spellStart"/>
      <w:r w:rsidR="0085741A">
        <w:t>Zika</w:t>
      </w:r>
      <w:proofErr w:type="spellEnd"/>
      <w:r w:rsidR="0085741A">
        <w:t xml:space="preserve"> virus infection is usually asymptomatic or causes mild illness, a</w:t>
      </w:r>
      <w:r w:rsidR="008B4330">
        <w:t xml:space="preserve"> causal</w:t>
      </w:r>
      <w:r w:rsidR="00E90DCB">
        <w:t xml:space="preserve"> relationship exists between prenatal </w:t>
      </w:r>
      <w:proofErr w:type="spellStart"/>
      <w:r>
        <w:t>Zika</w:t>
      </w:r>
      <w:proofErr w:type="spellEnd"/>
      <w:r>
        <w:t xml:space="preserve"> virus</w:t>
      </w:r>
      <w:r w:rsidR="00E90DCB">
        <w:t xml:space="preserve"> and microcephaly</w:t>
      </w:r>
      <w:r w:rsidR="002858FD">
        <w:t xml:space="preserve"> in the infant</w:t>
      </w:r>
      <w:r w:rsidR="003F44B1">
        <w:t xml:space="preserve">, as well as </w:t>
      </w:r>
      <w:r w:rsidR="00E90DCB">
        <w:t>other serious brain anomalies</w:t>
      </w:r>
      <w:r w:rsidR="0027347E">
        <w:t>.</w:t>
      </w:r>
      <w:r w:rsidR="00C03CF2">
        <w:t xml:space="preserve"> </w:t>
      </w:r>
      <w:r w:rsidR="00043892">
        <w:t xml:space="preserve"> </w:t>
      </w:r>
      <w:r w:rsidR="001B0B48">
        <w:t xml:space="preserve">Diagnostic tests </w:t>
      </w:r>
      <w:r w:rsidR="00DF1138">
        <w:t xml:space="preserve">to evaluate </w:t>
      </w:r>
      <w:r w:rsidR="002858FD">
        <w:t xml:space="preserve">for </w:t>
      </w:r>
      <w:proofErr w:type="spellStart"/>
      <w:r w:rsidR="00DF1138">
        <w:t>Zika</w:t>
      </w:r>
      <w:proofErr w:type="spellEnd"/>
      <w:r w:rsidR="00DF1138">
        <w:t xml:space="preserve"> virus infection </w:t>
      </w:r>
      <w:r w:rsidR="0027347E">
        <w:t>include</w:t>
      </w:r>
      <w:r w:rsidR="001B0B48">
        <w:t xml:space="preserve"> </w:t>
      </w:r>
      <w:r w:rsidR="000B6130">
        <w:t>molecular and serologic testing</w:t>
      </w:r>
      <w:r w:rsidR="001B0B48">
        <w:t>.</w:t>
      </w:r>
      <w:r w:rsidR="00C03CF2">
        <w:t xml:space="preserve"> </w:t>
      </w:r>
      <w:r w:rsidR="00DF1138" w:rsidRPr="00DF1138">
        <w:t xml:space="preserve"> </w:t>
      </w:r>
      <w:r w:rsidR="00DF1138">
        <w:t xml:space="preserve">This policy describes the medical necessity requirements for these diagnostic tests.  </w:t>
      </w:r>
    </w:p>
    <w:p w14:paraId="1E7AC6DF" w14:textId="77777777" w:rsidR="00E737C4" w:rsidRDefault="00E737C4" w:rsidP="00196935"/>
    <w:p w14:paraId="672C1301" w14:textId="12EE0982" w:rsidR="00E737C4" w:rsidRDefault="004F564A" w:rsidP="00196935">
      <w:r>
        <w:rPr>
          <w:b/>
        </w:rPr>
        <w:t>*</w:t>
      </w:r>
      <w:r w:rsidR="00E737C4" w:rsidRPr="0035416C">
        <w:rPr>
          <w:b/>
        </w:rPr>
        <w:t>Note:</w:t>
      </w:r>
      <w:r w:rsidR="00E737C4">
        <w:t xml:space="preserve"> </w:t>
      </w:r>
      <w:r w:rsidR="006C1350">
        <w:t>All references to p</w:t>
      </w:r>
      <w:r w:rsidR="006C1350" w:rsidRPr="006C1350">
        <w:t xml:space="preserve">ossible exposure includes living in, traveling to, or having unprotected sex with someone who lives in or traveled to an area with risk of </w:t>
      </w:r>
      <w:proofErr w:type="spellStart"/>
      <w:r w:rsidR="006C1350" w:rsidRPr="006C1350">
        <w:t>Zika</w:t>
      </w:r>
      <w:proofErr w:type="spellEnd"/>
      <w:r w:rsidR="006C1350" w:rsidRPr="006C1350">
        <w:t>.</w:t>
      </w:r>
      <w:r w:rsidR="006C1350">
        <w:t xml:space="preserve"> </w:t>
      </w:r>
    </w:p>
    <w:p w14:paraId="20E1FDD5" w14:textId="77777777" w:rsidR="005D7B81" w:rsidRPr="00B777AF" w:rsidRDefault="005D7B81" w:rsidP="00196935"/>
    <w:p w14:paraId="18D3A082" w14:textId="77777777" w:rsidR="00583376" w:rsidRPr="00B777AF" w:rsidRDefault="00583376">
      <w:pPr>
        <w:pStyle w:val="Heading2"/>
        <w:rPr>
          <w:u w:val="none"/>
        </w:rPr>
      </w:pPr>
      <w:r w:rsidRPr="00B777AF">
        <w:rPr>
          <w:u w:val="none"/>
        </w:rPr>
        <w:t>Policy/Criteria</w:t>
      </w:r>
    </w:p>
    <w:p w14:paraId="09C163B0" w14:textId="0BC6A29F"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7F25C4">
        <w:t xml:space="preserve">nucleic acid testing (NAT) using FDA Emergency Use Authorized tests, such as </w:t>
      </w:r>
      <w:r w:rsidR="00B65E1D">
        <w:t xml:space="preserve">real time </w:t>
      </w:r>
      <w:r w:rsidR="00B65E1D" w:rsidRPr="004504C3">
        <w:t>reverse transcriptase</w:t>
      </w:r>
      <w:r w:rsidR="00CE5342" w:rsidRPr="004504C3">
        <w:t>-</w:t>
      </w:r>
      <w:r w:rsidR="00893E28" w:rsidRPr="004504C3">
        <w:t>polymerase chain reaction</w:t>
      </w:r>
      <w:r w:rsidR="00772A8D" w:rsidRPr="004504C3">
        <w:t xml:space="preserve"> (</w:t>
      </w:r>
      <w:proofErr w:type="spellStart"/>
      <w:r w:rsidR="00B65E1D" w:rsidRPr="004504C3">
        <w:t>rRT</w:t>
      </w:r>
      <w:proofErr w:type="spellEnd"/>
      <w:r w:rsidR="00B65E1D" w:rsidRPr="004504C3">
        <w:t>-</w:t>
      </w:r>
      <w:r w:rsidR="00772A8D" w:rsidRPr="004504C3">
        <w:t>PCR)</w:t>
      </w:r>
      <w:r w:rsidR="00772A8D">
        <w:t xml:space="preserve"> testing</w:t>
      </w:r>
      <w:r w:rsidR="007F25C4">
        <w:t>,</w:t>
      </w:r>
      <w:r w:rsidR="00772A8D">
        <w:t xml:space="preserve"> to evaluate </w:t>
      </w:r>
      <w:r w:rsidR="00CE5342">
        <w:t xml:space="preserve">for </w:t>
      </w:r>
      <w:proofErr w:type="spellStart"/>
      <w:r w:rsidR="00772A8D">
        <w:t>Z</w:t>
      </w:r>
      <w:r w:rsidR="00893E28">
        <w:t>ika</w:t>
      </w:r>
      <w:proofErr w:type="spellEnd"/>
      <w:r w:rsidR="00893E28">
        <w:t xml:space="preserve"> virus infection</w:t>
      </w:r>
      <w:r w:rsidR="007F25C4">
        <w:t>,</w:t>
      </w:r>
      <w:r w:rsidR="00C96847">
        <w:t xml:space="preserve"> is </w:t>
      </w:r>
      <w:r w:rsidR="00C96847" w:rsidRPr="005D6347">
        <w:rPr>
          <w:b/>
        </w:rPr>
        <w:t>medically necessary</w:t>
      </w:r>
      <w:r w:rsidR="00C96847">
        <w:t xml:space="preserve"> </w:t>
      </w:r>
      <w:r w:rsidR="00FC12DB">
        <w:t>for any of the following</w:t>
      </w:r>
      <w:r w:rsidR="00C96847">
        <w:t>:</w:t>
      </w:r>
    </w:p>
    <w:p w14:paraId="4E7F8D5D" w14:textId="284F3B6B" w:rsidR="00301578" w:rsidRDefault="005631C7">
      <w:pPr>
        <w:numPr>
          <w:ilvl w:val="1"/>
          <w:numId w:val="11"/>
        </w:numPr>
        <w:ind w:left="720"/>
      </w:pPr>
      <w:r>
        <w:t xml:space="preserve">Symptomatic non-pregnant individuals with possible </w:t>
      </w:r>
      <w:proofErr w:type="spellStart"/>
      <w:r>
        <w:t>Zika</w:t>
      </w:r>
      <w:proofErr w:type="spellEnd"/>
      <w:r>
        <w:t xml:space="preserve"> virus exposure</w:t>
      </w:r>
      <w:r w:rsidR="006C1350">
        <w:t>*</w:t>
      </w:r>
      <w:r>
        <w:t>, if &lt; 14 days from symptom onset;</w:t>
      </w:r>
    </w:p>
    <w:p w14:paraId="5B19FCDA" w14:textId="4C2B171E" w:rsidR="00372364" w:rsidRPr="0035416C" w:rsidRDefault="002113E4">
      <w:pPr>
        <w:numPr>
          <w:ilvl w:val="1"/>
          <w:numId w:val="11"/>
        </w:numPr>
        <w:ind w:left="720"/>
      </w:pPr>
      <w:r>
        <w:t>Pregnant women</w:t>
      </w:r>
      <w:r w:rsidR="00FC12DB">
        <w:t xml:space="preserve"> with</w:t>
      </w:r>
      <w:r w:rsidR="00895017">
        <w:t xml:space="preserve"> clinical symptoms consistent with </w:t>
      </w:r>
      <w:proofErr w:type="spellStart"/>
      <w:r w:rsidR="00895017">
        <w:t>Zika</w:t>
      </w:r>
      <w:proofErr w:type="spellEnd"/>
      <w:r w:rsidR="00895017">
        <w:t xml:space="preserve"> virus disease</w:t>
      </w:r>
      <w:r w:rsidR="00CE5342">
        <w:t>,</w:t>
      </w:r>
      <w:r w:rsidR="00B22253">
        <w:t xml:space="preserve"> </w:t>
      </w:r>
      <w:r w:rsidR="00284129">
        <w:t>with</w:t>
      </w:r>
      <w:r w:rsidR="006C1350">
        <w:t xml:space="preserve"> possible </w:t>
      </w:r>
      <w:proofErr w:type="spellStart"/>
      <w:r w:rsidR="006C1350">
        <w:t>Zika</w:t>
      </w:r>
      <w:proofErr w:type="spellEnd"/>
      <w:r w:rsidR="006C1350">
        <w:t xml:space="preserve"> exposure</w:t>
      </w:r>
      <w:r w:rsidR="00A6576E">
        <w:rPr>
          <w:vertAlign w:val="superscript"/>
        </w:rPr>
        <w:t>2,4,</w:t>
      </w:r>
      <w:r w:rsidR="00376F86" w:rsidRPr="00B94419">
        <w:rPr>
          <w:vertAlign w:val="superscript"/>
        </w:rPr>
        <w:t>6</w:t>
      </w:r>
      <w:r w:rsidR="006C1350" w:rsidRPr="002D1A6E">
        <w:t>;</w:t>
      </w:r>
    </w:p>
    <w:p w14:paraId="16C3EDF4" w14:textId="0E1C52CF" w:rsidR="000213B8" w:rsidRPr="00255B06" w:rsidRDefault="000213B8" w:rsidP="00B817D8">
      <w:pPr>
        <w:pStyle w:val="ListParagraph"/>
        <w:numPr>
          <w:ilvl w:val="1"/>
          <w:numId w:val="11"/>
        </w:numPr>
        <w:ind w:left="720"/>
      </w:pPr>
      <w:r w:rsidRPr="00255B06">
        <w:t xml:space="preserve">Asymptomatic pregnant women </w:t>
      </w:r>
      <w:r w:rsidR="00D0361D">
        <w:t xml:space="preserve">with ongoing possible </w:t>
      </w:r>
      <w:proofErr w:type="spellStart"/>
      <w:r w:rsidR="00D0361D">
        <w:t>Zika</w:t>
      </w:r>
      <w:proofErr w:type="spellEnd"/>
      <w:r w:rsidR="00D0361D">
        <w:t xml:space="preserve"> virus exposure</w:t>
      </w:r>
      <w:r w:rsidR="006C4D66" w:rsidRPr="00255B06">
        <w:t>. Testing at least once per trimester should be considered if living in</w:t>
      </w:r>
      <w:r w:rsidR="00CE5342">
        <w:t>,</w:t>
      </w:r>
      <w:r w:rsidR="006C4D66" w:rsidRPr="00255B06">
        <w:t xml:space="preserve"> or frequently trave</w:t>
      </w:r>
      <w:r w:rsidR="00FA2755" w:rsidRPr="00255B06">
        <w:t>ling to</w:t>
      </w:r>
      <w:r w:rsidR="00CE5342">
        <w:t>,</w:t>
      </w:r>
      <w:r w:rsidR="00FA2755" w:rsidRPr="00255B06">
        <w:t xml:space="preserve"> areas with active </w:t>
      </w:r>
      <w:proofErr w:type="spellStart"/>
      <w:r w:rsidR="00FA2755" w:rsidRPr="00255B06">
        <w:t>Zika</w:t>
      </w:r>
      <w:proofErr w:type="spellEnd"/>
      <w:r w:rsidR="00FA2755" w:rsidRPr="00255B06">
        <w:t xml:space="preserve"> v</w:t>
      </w:r>
      <w:r w:rsidR="006C4D66" w:rsidRPr="00255B06">
        <w:t>irus transmission</w:t>
      </w:r>
      <w:r w:rsidR="00FA2755" w:rsidRPr="00255B06">
        <w:t xml:space="preserve">, unless a previous </w:t>
      </w:r>
      <w:proofErr w:type="spellStart"/>
      <w:r w:rsidR="00FA2755" w:rsidRPr="00255B06">
        <w:t>rRT</w:t>
      </w:r>
      <w:proofErr w:type="spellEnd"/>
      <w:r w:rsidR="00FA2755" w:rsidRPr="00255B06">
        <w:t>-PCR test has been positive</w:t>
      </w:r>
      <w:r w:rsidRPr="00255B06">
        <w:t>;</w:t>
      </w:r>
      <w:r w:rsidR="00334E97" w:rsidRPr="00255B06">
        <w:rPr>
          <w:vertAlign w:val="superscript"/>
        </w:rPr>
        <w:t>15</w:t>
      </w:r>
    </w:p>
    <w:p w14:paraId="39E5CD6B" w14:textId="46A2F4AC" w:rsidR="00161E36" w:rsidRPr="002D1A6E" w:rsidRDefault="00161E36" w:rsidP="00B817D8">
      <w:pPr>
        <w:pStyle w:val="ListParagraph"/>
        <w:numPr>
          <w:ilvl w:val="1"/>
          <w:numId w:val="11"/>
        </w:numPr>
        <w:ind w:left="720"/>
      </w:pPr>
      <w:r w:rsidRPr="00255B06">
        <w:t xml:space="preserve">Asymptomatic pregnant women with a </w:t>
      </w:r>
      <w:r w:rsidR="0004311E" w:rsidRPr="00255B06">
        <w:t xml:space="preserve">positive or equivocal </w:t>
      </w:r>
      <w:r w:rsidR="00F03950" w:rsidRPr="00255B06">
        <w:t xml:space="preserve">MAC-ELISA test for </w:t>
      </w:r>
      <w:proofErr w:type="spellStart"/>
      <w:r w:rsidR="00F03950" w:rsidRPr="00255B06">
        <w:t>Zika</w:t>
      </w:r>
      <w:proofErr w:type="spellEnd"/>
      <w:r w:rsidR="00F03950" w:rsidRPr="00255B06">
        <w:t xml:space="preserve"> IgM, </w:t>
      </w:r>
      <w:r w:rsidRPr="00255B06">
        <w:t xml:space="preserve">2-12 weeks following potential </w:t>
      </w:r>
      <w:proofErr w:type="spellStart"/>
      <w:r w:rsidR="005E3367">
        <w:t>Zika</w:t>
      </w:r>
      <w:proofErr w:type="spellEnd"/>
      <w:r w:rsidR="005E3367">
        <w:t xml:space="preserve"> exposure</w:t>
      </w:r>
      <w:r w:rsidR="00BD2C96" w:rsidRPr="00255B06">
        <w:t>. Testing should be conducted on all appropriate specimen types available;</w:t>
      </w:r>
      <w:r w:rsidR="00BD2C96" w:rsidRPr="00255B06">
        <w:rPr>
          <w:vertAlign w:val="superscript"/>
        </w:rPr>
        <w:t>13</w:t>
      </w:r>
    </w:p>
    <w:p w14:paraId="1A16C40A" w14:textId="1599065D" w:rsidR="00301578" w:rsidRPr="00255B06" w:rsidRDefault="0018553B" w:rsidP="002D1A6E">
      <w:pPr>
        <w:numPr>
          <w:ilvl w:val="1"/>
          <w:numId w:val="11"/>
        </w:numPr>
        <w:ind w:left="720"/>
      </w:pPr>
      <w:r>
        <w:t>A</w:t>
      </w:r>
      <w:r w:rsidR="00301578" w:rsidRPr="00D0361D">
        <w:t>symptomatic</w:t>
      </w:r>
      <w:r w:rsidR="00301578">
        <w:t xml:space="preserve"> pregnant women who have recent</w:t>
      </w:r>
      <w:r w:rsidR="00301578" w:rsidRPr="00D0361D">
        <w:t xml:space="preserve"> possible </w:t>
      </w:r>
      <w:proofErr w:type="spellStart"/>
      <w:r w:rsidR="00301578" w:rsidRPr="00D0361D">
        <w:t>Zika</w:t>
      </w:r>
      <w:proofErr w:type="spellEnd"/>
      <w:r w:rsidR="00301578" w:rsidRPr="00D0361D">
        <w:t xml:space="preserve"> virus exposure (i.e., through travel or sexual exposure) but without ongoing possible exposure</w:t>
      </w:r>
      <w:r w:rsidR="00301578">
        <w:t>, if certain jurisdictions recommend testing for epidemiologic considerations such as seasonality</w:t>
      </w:r>
      <w:r>
        <w:t>;</w:t>
      </w:r>
    </w:p>
    <w:p w14:paraId="6BB1E492" w14:textId="18C8411A" w:rsidR="009550DC" w:rsidRDefault="009550DC" w:rsidP="00B817D8">
      <w:pPr>
        <w:pStyle w:val="ListParagraph"/>
        <w:numPr>
          <w:ilvl w:val="1"/>
          <w:numId w:val="11"/>
        </w:numPr>
        <w:ind w:left="720"/>
      </w:pPr>
      <w:r w:rsidRPr="00255B06">
        <w:t xml:space="preserve">Amniocentesis specimens if amniocentesis is conducted for reasons other than </w:t>
      </w:r>
      <w:proofErr w:type="spellStart"/>
      <w:r w:rsidRPr="00255B06">
        <w:t>Zika</w:t>
      </w:r>
      <w:proofErr w:type="spellEnd"/>
      <w:r w:rsidRPr="00255B06">
        <w:t xml:space="preserve"> testing;</w:t>
      </w:r>
    </w:p>
    <w:p w14:paraId="1DCB0919" w14:textId="7C8BEE9A" w:rsidR="00507AE2" w:rsidRPr="00255B06" w:rsidRDefault="00507AE2" w:rsidP="00507AE2">
      <w:pPr>
        <w:pStyle w:val="ListParagraph"/>
        <w:numPr>
          <w:ilvl w:val="1"/>
          <w:numId w:val="11"/>
        </w:numPr>
        <w:ind w:left="720"/>
      </w:pPr>
      <w:r w:rsidRPr="00507AE2">
        <w:t xml:space="preserve">Pregnant women who have recent possible </w:t>
      </w:r>
      <w:proofErr w:type="spellStart"/>
      <w:r w:rsidRPr="00507AE2">
        <w:t>Zika</w:t>
      </w:r>
      <w:proofErr w:type="spellEnd"/>
      <w:r w:rsidRPr="00507AE2">
        <w:t xml:space="preserve"> virus exposure and who have a fetus with prenatal ultrasound findings consistent with congenital </w:t>
      </w:r>
      <w:proofErr w:type="spellStart"/>
      <w:r w:rsidRPr="00507AE2">
        <w:t>Zika</w:t>
      </w:r>
      <w:proofErr w:type="spellEnd"/>
      <w:r w:rsidRPr="00507AE2">
        <w:t xml:space="preserve"> virus syndrome</w:t>
      </w:r>
      <w:r>
        <w:t>;</w:t>
      </w:r>
    </w:p>
    <w:p w14:paraId="3D4F2F86" w14:textId="4958F85D" w:rsidR="007E08CC" w:rsidRDefault="009A4203" w:rsidP="007E08CC">
      <w:pPr>
        <w:numPr>
          <w:ilvl w:val="1"/>
          <w:numId w:val="11"/>
        </w:numPr>
        <w:ind w:left="720"/>
      </w:pPr>
      <w:r>
        <w:t xml:space="preserve">Infants </w:t>
      </w:r>
      <w:r w:rsidR="007E08CC">
        <w:t xml:space="preserve">with </w:t>
      </w:r>
      <w:r>
        <w:t xml:space="preserve">birth defects consistent with congenital </w:t>
      </w:r>
      <w:proofErr w:type="spellStart"/>
      <w:r>
        <w:t>Zika</w:t>
      </w:r>
      <w:proofErr w:type="spellEnd"/>
      <w:r>
        <w:t xml:space="preserve"> syndrome,</w:t>
      </w:r>
      <w:r w:rsidR="007E08CC">
        <w:t xml:space="preserve"> born to women </w:t>
      </w:r>
      <w:r w:rsidR="004F564A">
        <w:t xml:space="preserve">with possible </w:t>
      </w:r>
      <w:proofErr w:type="spellStart"/>
      <w:r w:rsidR="005E3367">
        <w:t>Zika</w:t>
      </w:r>
      <w:proofErr w:type="spellEnd"/>
      <w:r w:rsidR="005E3367">
        <w:t xml:space="preserve"> exposure</w:t>
      </w:r>
      <w:r w:rsidR="00A00F93">
        <w:t xml:space="preserve">, </w:t>
      </w:r>
      <w:r w:rsidR="004B6009">
        <w:t xml:space="preserve">ideally </w:t>
      </w:r>
      <w:r w:rsidR="00A00F93">
        <w:t>within 2 days of birth</w:t>
      </w:r>
      <w:r w:rsidR="00284129">
        <w:t>*</w:t>
      </w:r>
      <w:r w:rsidR="00FF6A0B">
        <w:t>;</w:t>
      </w:r>
      <w:r w:rsidR="00FF6A0B" w:rsidRPr="001A360E">
        <w:rPr>
          <w:vertAlign w:val="superscript"/>
        </w:rPr>
        <w:t>9</w:t>
      </w:r>
    </w:p>
    <w:p w14:paraId="7FC62105" w14:textId="497621CA" w:rsidR="008C3511" w:rsidRDefault="009A4203" w:rsidP="0035416C">
      <w:pPr>
        <w:numPr>
          <w:ilvl w:val="1"/>
          <w:numId w:val="11"/>
        </w:numPr>
        <w:ind w:left="720"/>
      </w:pPr>
      <w:r>
        <w:t xml:space="preserve">Infants </w:t>
      </w:r>
      <w:r w:rsidR="005F7B0C">
        <w:t xml:space="preserve">without </w:t>
      </w:r>
      <w:r>
        <w:t xml:space="preserve">birth defects consistent with congenital </w:t>
      </w:r>
      <w:proofErr w:type="spellStart"/>
      <w:r>
        <w:t>Zika</w:t>
      </w:r>
      <w:proofErr w:type="spellEnd"/>
      <w:r>
        <w:t xml:space="preserve"> syndrome, </w:t>
      </w:r>
      <w:r w:rsidR="00F81471">
        <w:t xml:space="preserve">born to women with positive or inconclusive </w:t>
      </w:r>
      <w:proofErr w:type="spellStart"/>
      <w:r w:rsidR="00F81471">
        <w:t>Zika</w:t>
      </w:r>
      <w:proofErr w:type="spellEnd"/>
      <w:r w:rsidR="00F81471">
        <w:t xml:space="preserve"> virus testing</w:t>
      </w:r>
      <w:r w:rsidR="00A00F93">
        <w:t xml:space="preserve">, </w:t>
      </w:r>
      <w:r w:rsidR="004B6009">
        <w:t xml:space="preserve">ideally </w:t>
      </w:r>
      <w:r w:rsidR="00A00F93">
        <w:t>within 2 days of birth</w:t>
      </w:r>
      <w:r w:rsidR="00C03CF2">
        <w:t>;</w:t>
      </w:r>
    </w:p>
    <w:p w14:paraId="0380BA89" w14:textId="4B94D3A6" w:rsidR="00F81471" w:rsidRDefault="008C3511" w:rsidP="0035416C">
      <w:pPr>
        <w:numPr>
          <w:ilvl w:val="1"/>
          <w:numId w:val="11"/>
        </w:numPr>
        <w:ind w:left="720"/>
      </w:pPr>
      <w:r>
        <w:t>Repeat testing if first result is inconclusive or equivocal.</w:t>
      </w:r>
      <w:r>
        <w:rPr>
          <w:vertAlign w:val="superscript"/>
        </w:rPr>
        <w:t>4,9</w:t>
      </w:r>
    </w:p>
    <w:p w14:paraId="7C80CB38" w14:textId="77777777" w:rsidR="006C2B7F" w:rsidRDefault="006C2B7F" w:rsidP="003F3D44"/>
    <w:p w14:paraId="5E19F4C6" w14:textId="27886378" w:rsidR="001B36D6" w:rsidRDefault="001D788B" w:rsidP="00DD6AE5">
      <w:pPr>
        <w:numPr>
          <w:ilvl w:val="0"/>
          <w:numId w:val="11"/>
        </w:numPr>
        <w:ind w:left="360"/>
      </w:pPr>
      <w:r>
        <w:rPr>
          <w:bCs/>
          <w:color w:val="000000"/>
        </w:rPr>
        <w:lastRenderedPageBreak/>
        <w:t>It is the policy of health plans affiliated with Centene Corporation</w:t>
      </w:r>
      <w:r w:rsidRPr="00C75BD4">
        <w:rPr>
          <w:bCs/>
          <w:color w:val="000000"/>
          <w:vertAlign w:val="superscript"/>
        </w:rPr>
        <w:t>®</w:t>
      </w:r>
      <w:r>
        <w:rPr>
          <w:bCs/>
          <w:color w:val="000000"/>
        </w:rPr>
        <w:t xml:space="preserve"> </w:t>
      </w:r>
      <w:r>
        <w:t xml:space="preserve">that </w:t>
      </w:r>
      <w:proofErr w:type="spellStart"/>
      <w:r w:rsidR="00B206A3" w:rsidRPr="004504C3">
        <w:t>Zika</w:t>
      </w:r>
      <w:proofErr w:type="spellEnd"/>
      <w:r w:rsidR="00B206A3" w:rsidRPr="004504C3">
        <w:t xml:space="preserve"> IgM capture enzyme linked immunosorbent assay (MAC-ELISA)</w:t>
      </w:r>
      <w:r w:rsidR="00B206A3">
        <w:t xml:space="preserve"> and subsequent </w:t>
      </w:r>
      <w:r w:rsidR="00B206A3" w:rsidRPr="004504C3">
        <w:t>plaque-reduction neutralization (PRNT)</w:t>
      </w:r>
      <w:r w:rsidR="009550DC">
        <w:t>**</w:t>
      </w:r>
      <w:r w:rsidR="00B206A3">
        <w:t xml:space="preserve"> testing</w:t>
      </w:r>
      <w:r w:rsidR="00C324EA">
        <w:t xml:space="preserve"> for </w:t>
      </w:r>
      <w:r w:rsidR="00D66AAB">
        <w:t xml:space="preserve">IgM </w:t>
      </w:r>
      <w:r w:rsidR="008B6071">
        <w:t xml:space="preserve">nonnegative </w:t>
      </w:r>
      <w:r w:rsidR="00D66AAB">
        <w:t>samples</w:t>
      </w:r>
      <w:r w:rsidR="00B206A3">
        <w:t xml:space="preserve"> </w:t>
      </w:r>
      <w:r>
        <w:t xml:space="preserve">is </w:t>
      </w:r>
      <w:r w:rsidRPr="005D6347">
        <w:rPr>
          <w:b/>
        </w:rPr>
        <w:t>medically necessary</w:t>
      </w:r>
      <w:r>
        <w:t xml:space="preserve"> </w:t>
      </w:r>
      <w:r w:rsidR="007534F6">
        <w:t xml:space="preserve">to evaluate </w:t>
      </w:r>
      <w:r w:rsidR="00BA67E2">
        <w:t xml:space="preserve">for </w:t>
      </w:r>
      <w:proofErr w:type="spellStart"/>
      <w:r w:rsidR="007534F6">
        <w:t>Zika</w:t>
      </w:r>
      <w:proofErr w:type="spellEnd"/>
      <w:r w:rsidR="007534F6">
        <w:t xml:space="preserve"> virus infection </w:t>
      </w:r>
      <w:r w:rsidR="00B532C9">
        <w:t>for any of the following</w:t>
      </w:r>
      <w:r w:rsidR="0094128C">
        <w:t>:</w:t>
      </w:r>
    </w:p>
    <w:p w14:paraId="6ED6C9D4" w14:textId="4BDF1A06" w:rsidR="001B36D6" w:rsidRDefault="001B36D6" w:rsidP="008C3511">
      <w:pPr>
        <w:numPr>
          <w:ilvl w:val="1"/>
          <w:numId w:val="11"/>
        </w:numPr>
        <w:ind w:left="720"/>
      </w:pPr>
      <w:r>
        <w:t xml:space="preserve">Symptomatic non-pregnant individuals with possible </w:t>
      </w:r>
      <w:proofErr w:type="spellStart"/>
      <w:r>
        <w:t>Zika</w:t>
      </w:r>
      <w:proofErr w:type="spellEnd"/>
      <w:r>
        <w:t xml:space="preserve"> virus exposure, if &lt; 14 days from symptom onset and </w:t>
      </w:r>
      <w:proofErr w:type="spellStart"/>
      <w:r>
        <w:t>rRT</w:t>
      </w:r>
      <w:proofErr w:type="spellEnd"/>
      <w:r>
        <w:t>-PCR is negative, or if  ≥ 14 days after symptom onset;</w:t>
      </w:r>
    </w:p>
    <w:p w14:paraId="6A110B5D" w14:textId="67F90933" w:rsidR="003930E5" w:rsidRPr="0035416C" w:rsidRDefault="009C1038" w:rsidP="00895017">
      <w:pPr>
        <w:numPr>
          <w:ilvl w:val="1"/>
          <w:numId w:val="11"/>
        </w:numPr>
        <w:ind w:left="720"/>
      </w:pPr>
      <w:r>
        <w:t>Symptomatic pregnant women</w:t>
      </w:r>
      <w:r w:rsidR="003930E5">
        <w:t xml:space="preserve"> with </w:t>
      </w:r>
      <w:r>
        <w:t xml:space="preserve">possible </w:t>
      </w:r>
      <w:proofErr w:type="spellStart"/>
      <w:r w:rsidR="003930E5">
        <w:t>Zika</w:t>
      </w:r>
      <w:proofErr w:type="spellEnd"/>
      <w:r w:rsidR="003930E5">
        <w:t xml:space="preserve"> virus </w:t>
      </w:r>
      <w:r w:rsidR="00284129">
        <w:t>exposure</w:t>
      </w:r>
      <w:r w:rsidR="00E737C4">
        <w:t>,</w:t>
      </w:r>
      <w:r w:rsidR="003930E5" w:rsidRPr="003D2F58">
        <w:t xml:space="preserve"> </w:t>
      </w:r>
      <w:r w:rsidR="00B532C9">
        <w:t>within 4 days – 12 weeks of symptom onset</w:t>
      </w:r>
      <w:r w:rsidR="00284129">
        <w:t>*</w:t>
      </w:r>
      <w:r w:rsidR="00DC2F5E" w:rsidRPr="003D2F58">
        <w:t>;</w:t>
      </w:r>
      <w:r w:rsidR="003930E5" w:rsidRPr="003D2F58">
        <w:rPr>
          <w:vertAlign w:val="superscript"/>
        </w:rPr>
        <w:t>6</w:t>
      </w:r>
      <w:r w:rsidR="00B532C9">
        <w:rPr>
          <w:vertAlign w:val="superscript"/>
        </w:rPr>
        <w:t>, 7</w:t>
      </w:r>
    </w:p>
    <w:p w14:paraId="6AB768EB" w14:textId="17B7EFDA" w:rsidR="00FE073D" w:rsidRPr="005E7E07" w:rsidRDefault="00A6576E" w:rsidP="00A3123D">
      <w:pPr>
        <w:numPr>
          <w:ilvl w:val="1"/>
          <w:numId w:val="11"/>
        </w:numPr>
        <w:ind w:left="720"/>
      </w:pPr>
      <w:r>
        <w:t>Asymptomatic p</w:t>
      </w:r>
      <w:r w:rsidR="00895017" w:rsidRPr="003D2F58">
        <w:t xml:space="preserve">regnant women who </w:t>
      </w:r>
      <w:r w:rsidR="00E737C4">
        <w:t xml:space="preserve">may </w:t>
      </w:r>
      <w:r w:rsidR="00895017" w:rsidRPr="003D2F58">
        <w:t>have</w:t>
      </w:r>
      <w:r w:rsidR="00E737C4">
        <w:t xml:space="preserve"> had </w:t>
      </w:r>
      <w:proofErr w:type="spellStart"/>
      <w:r w:rsidR="00E737C4">
        <w:t>Zika</w:t>
      </w:r>
      <w:proofErr w:type="spellEnd"/>
      <w:r w:rsidR="00E737C4">
        <w:t xml:space="preserve"> virus transmission through travel or sexual </w:t>
      </w:r>
      <w:r w:rsidR="00591FCC">
        <w:t>contact</w:t>
      </w:r>
      <w:r w:rsidR="00BD052B">
        <w:t>,</w:t>
      </w:r>
      <w:r w:rsidR="00895017">
        <w:t xml:space="preserve"> within 2 – 12 weeks </w:t>
      </w:r>
      <w:r w:rsidR="00E737C4">
        <w:t>of possible expos</w:t>
      </w:r>
      <w:r w:rsidR="00F10BD4">
        <w:t>u</w:t>
      </w:r>
      <w:r w:rsidR="00E737C4">
        <w:t>re</w:t>
      </w:r>
      <w:r w:rsidR="00FA0E16" w:rsidRPr="00EE7709">
        <w:rPr>
          <w:b/>
        </w:rPr>
        <w:t xml:space="preserve">, </w:t>
      </w:r>
      <w:r w:rsidR="009C1038">
        <w:t xml:space="preserve">if certain jurisdictions recommend testing for epidemiologic considerations such as seasonality, </w:t>
      </w:r>
      <w:r w:rsidR="00FA0E16" w:rsidRPr="00FC6831">
        <w:t xml:space="preserve">even if </w:t>
      </w:r>
      <w:proofErr w:type="spellStart"/>
      <w:r w:rsidR="00FA0E16" w:rsidRPr="00FC6831">
        <w:t>rRT</w:t>
      </w:r>
      <w:proofErr w:type="spellEnd"/>
      <w:r w:rsidR="00FA0E16" w:rsidRPr="00FC6831">
        <w:t>-PCR</w:t>
      </w:r>
      <w:r w:rsidR="00830D28" w:rsidRPr="00FC6831">
        <w:t xml:space="preserve"> testing conducted within two weeks of exposure</w:t>
      </w:r>
      <w:r w:rsidR="00FA0E16" w:rsidRPr="00FC6831">
        <w:t xml:space="preserve"> was negative;</w:t>
      </w:r>
      <w:r w:rsidR="00E737C4" w:rsidRPr="00A3123D">
        <w:rPr>
          <w:vertAlign w:val="superscript"/>
        </w:rPr>
        <w:t>2, 4,</w:t>
      </w:r>
      <w:r w:rsidR="00376F86" w:rsidRPr="00A3123D">
        <w:rPr>
          <w:vertAlign w:val="superscript"/>
        </w:rPr>
        <w:t>6</w:t>
      </w:r>
      <w:r w:rsidR="00B532C9" w:rsidRPr="00327BF8">
        <w:rPr>
          <w:vertAlign w:val="superscript"/>
        </w:rPr>
        <w:t>, 7</w:t>
      </w:r>
      <w:r w:rsidR="00E737C4" w:rsidRPr="008C3511">
        <w:rPr>
          <w:vertAlign w:val="superscript"/>
        </w:rPr>
        <w:t>, 11</w:t>
      </w:r>
    </w:p>
    <w:p w14:paraId="3A6C8626" w14:textId="50E5E051" w:rsidR="00507AE2" w:rsidRPr="004F03EC" w:rsidRDefault="00507AE2" w:rsidP="00507AE2">
      <w:pPr>
        <w:numPr>
          <w:ilvl w:val="1"/>
          <w:numId w:val="11"/>
        </w:numPr>
        <w:ind w:left="720"/>
      </w:pPr>
      <w:r w:rsidRPr="00507AE2">
        <w:t xml:space="preserve">Pregnant women who have recent possible </w:t>
      </w:r>
      <w:proofErr w:type="spellStart"/>
      <w:r w:rsidRPr="00507AE2">
        <w:t>Zika</w:t>
      </w:r>
      <w:proofErr w:type="spellEnd"/>
      <w:r w:rsidRPr="00507AE2">
        <w:t xml:space="preserve"> virus exposure and who have a fetus with prenatal ultrasound findings consistent with congenital </w:t>
      </w:r>
      <w:proofErr w:type="spellStart"/>
      <w:r w:rsidRPr="00507AE2">
        <w:t>Zika</w:t>
      </w:r>
      <w:proofErr w:type="spellEnd"/>
      <w:r w:rsidRPr="00507AE2">
        <w:t xml:space="preserve"> virus syndrome</w:t>
      </w:r>
      <w:r w:rsidR="00385418">
        <w:t>;</w:t>
      </w:r>
    </w:p>
    <w:p w14:paraId="4DC906A1" w14:textId="23554920" w:rsidR="008752B5" w:rsidRDefault="008752B5" w:rsidP="008752B5">
      <w:pPr>
        <w:numPr>
          <w:ilvl w:val="1"/>
          <w:numId w:val="11"/>
        </w:numPr>
        <w:ind w:left="720"/>
      </w:pPr>
      <w:r>
        <w:t xml:space="preserve">Infants with birth defects consistent with congenital </w:t>
      </w:r>
      <w:proofErr w:type="spellStart"/>
      <w:r>
        <w:t>Zika</w:t>
      </w:r>
      <w:proofErr w:type="spellEnd"/>
      <w:r>
        <w:t xml:space="preserve"> syndrome, born to women with possible exposure to </w:t>
      </w:r>
      <w:proofErr w:type="spellStart"/>
      <w:r>
        <w:t>Zika</w:t>
      </w:r>
      <w:proofErr w:type="spellEnd"/>
      <w:r>
        <w:t xml:space="preserve"> virus, ideally within 2 days of birth*;</w:t>
      </w:r>
      <w:r w:rsidRPr="001A360E">
        <w:rPr>
          <w:vertAlign w:val="superscript"/>
        </w:rPr>
        <w:t>9</w:t>
      </w:r>
    </w:p>
    <w:p w14:paraId="34103657" w14:textId="507D7832" w:rsidR="008752B5" w:rsidRDefault="008752B5" w:rsidP="008752B5">
      <w:pPr>
        <w:numPr>
          <w:ilvl w:val="1"/>
          <w:numId w:val="11"/>
        </w:numPr>
        <w:ind w:left="720"/>
      </w:pPr>
      <w:r>
        <w:t xml:space="preserve">Infants without birth defects consistent with congenital </w:t>
      </w:r>
      <w:proofErr w:type="spellStart"/>
      <w:r>
        <w:t>Zika</w:t>
      </w:r>
      <w:proofErr w:type="spellEnd"/>
      <w:r>
        <w:t xml:space="preserve"> syndrome, born to women with positive or inconclusive </w:t>
      </w:r>
      <w:proofErr w:type="spellStart"/>
      <w:r>
        <w:t>Zika</w:t>
      </w:r>
      <w:proofErr w:type="spellEnd"/>
      <w:r>
        <w:t xml:space="preserve"> virus testing, ideally </w:t>
      </w:r>
      <w:r w:rsidR="008C3511">
        <w:t>within 2 days of birth;</w:t>
      </w:r>
    </w:p>
    <w:p w14:paraId="30B5FB7B" w14:textId="06794B27" w:rsidR="008C3511" w:rsidRDefault="008C3511" w:rsidP="008752B5">
      <w:pPr>
        <w:numPr>
          <w:ilvl w:val="1"/>
          <w:numId w:val="11"/>
        </w:numPr>
        <w:ind w:left="720"/>
      </w:pPr>
      <w:r>
        <w:t>Repeat testing i</w:t>
      </w:r>
      <w:r w:rsidR="00C03CF2">
        <w:t>f</w:t>
      </w:r>
      <w:r>
        <w:t xml:space="preserve"> first result is inconclusive or equivocal.</w:t>
      </w:r>
      <w:r>
        <w:rPr>
          <w:vertAlign w:val="superscript"/>
        </w:rPr>
        <w:t>4,9</w:t>
      </w:r>
    </w:p>
    <w:p w14:paraId="17B993A6" w14:textId="77777777" w:rsidR="00AE63E0" w:rsidRPr="00FC6831" w:rsidRDefault="00AE63E0" w:rsidP="00B817D8">
      <w:pPr>
        <w:ind w:left="720"/>
      </w:pPr>
    </w:p>
    <w:p w14:paraId="4A258272" w14:textId="289AA25E" w:rsidR="009550DC" w:rsidRPr="00FC6831" w:rsidRDefault="009550DC" w:rsidP="00B817D8">
      <w:r w:rsidRPr="00FC6831">
        <w:t>**</w:t>
      </w:r>
      <w:r w:rsidR="00DA7DCA" w:rsidRPr="00FC6831">
        <w:t xml:space="preserve">Note: </w:t>
      </w:r>
      <w:r w:rsidRPr="00FC6831">
        <w:t>PRNT is not routinely recommended for testing any specimens in Puerto Rico.</w:t>
      </w:r>
    </w:p>
    <w:p w14:paraId="1C0A1F37" w14:textId="77777777" w:rsidR="009550DC" w:rsidRPr="00EE7709" w:rsidRDefault="009550DC" w:rsidP="00B817D8">
      <w:pPr>
        <w:rPr>
          <w:b/>
          <w:vertAlign w:val="superscript"/>
        </w:rPr>
      </w:pPr>
    </w:p>
    <w:p w14:paraId="4561FC81" w14:textId="750D69DE" w:rsidR="00AE63E0" w:rsidRPr="00FC6831" w:rsidRDefault="00AE63E0" w:rsidP="00B817D8">
      <w:pPr>
        <w:numPr>
          <w:ilvl w:val="0"/>
          <w:numId w:val="11"/>
        </w:numPr>
        <w:ind w:left="360"/>
      </w:pPr>
      <w:r w:rsidRPr="00FC6831">
        <w:rPr>
          <w:bCs/>
          <w:color w:val="000000"/>
        </w:rPr>
        <w:t>It is the policy of health plans affiliated with Centene Corporation</w:t>
      </w:r>
      <w:r w:rsidRPr="00FC6831">
        <w:rPr>
          <w:bCs/>
          <w:color w:val="000000"/>
          <w:vertAlign w:val="superscript"/>
        </w:rPr>
        <w:t>®</w:t>
      </w:r>
      <w:r w:rsidRPr="00FC6831">
        <w:rPr>
          <w:bCs/>
          <w:color w:val="000000"/>
        </w:rPr>
        <w:t xml:space="preserve"> </w:t>
      </w:r>
      <w:r w:rsidRPr="00FC6831">
        <w:t xml:space="preserve">that </w:t>
      </w:r>
      <w:r w:rsidRPr="004504C3">
        <w:t>PRNT</w:t>
      </w:r>
      <w:r w:rsidRPr="00FC6831">
        <w:t xml:space="preserve"> testing is medically necessary to evaluate </w:t>
      </w:r>
      <w:r w:rsidR="006E59D5">
        <w:t xml:space="preserve">for </w:t>
      </w:r>
      <w:proofErr w:type="spellStart"/>
      <w:r w:rsidRPr="00FC6831">
        <w:t>Zika</w:t>
      </w:r>
      <w:proofErr w:type="spellEnd"/>
      <w:r w:rsidRPr="00FC6831">
        <w:t xml:space="preserve"> virus infection for any of the following:</w:t>
      </w:r>
    </w:p>
    <w:p w14:paraId="3F9D4048" w14:textId="15A6E960" w:rsidR="008752B5" w:rsidRDefault="008752B5" w:rsidP="00B817D8">
      <w:pPr>
        <w:pStyle w:val="ListParagraph"/>
        <w:numPr>
          <w:ilvl w:val="1"/>
          <w:numId w:val="11"/>
        </w:numPr>
        <w:ind w:left="720"/>
      </w:pPr>
      <w:r>
        <w:t xml:space="preserve">Infants whose initial sample is IgM nonnegative and </w:t>
      </w:r>
      <w:proofErr w:type="spellStart"/>
      <w:r>
        <w:t>rRT</w:t>
      </w:r>
      <w:proofErr w:type="spellEnd"/>
      <w:r>
        <w:t>-PCR results were negative, if PRNT was not performed on the mother’s sample;</w:t>
      </w:r>
    </w:p>
    <w:p w14:paraId="3DC656B7" w14:textId="2C695C2A" w:rsidR="00AE63E0" w:rsidRPr="00FC6831" w:rsidRDefault="00AE63E0" w:rsidP="00B817D8">
      <w:pPr>
        <w:pStyle w:val="ListParagraph"/>
        <w:numPr>
          <w:ilvl w:val="1"/>
          <w:numId w:val="11"/>
        </w:numPr>
        <w:ind w:left="720"/>
      </w:pPr>
      <w:r w:rsidRPr="00FC6831">
        <w:t>Infants ≥ 18 months old, whose initial</w:t>
      </w:r>
      <w:r w:rsidR="00985810" w:rsidRPr="00FC6831">
        <w:t xml:space="preserve"> (neonatal)</w:t>
      </w:r>
      <w:r w:rsidRPr="00FC6831">
        <w:t xml:space="preserve"> sample w</w:t>
      </w:r>
      <w:r w:rsidR="001B3C17" w:rsidRPr="00FC6831">
        <w:t>a</w:t>
      </w:r>
      <w:r w:rsidRPr="00FC6831">
        <w:t>s anti-</w:t>
      </w:r>
      <w:proofErr w:type="spellStart"/>
      <w:r w:rsidRPr="00FC6831">
        <w:t>Zika</w:t>
      </w:r>
      <w:proofErr w:type="spellEnd"/>
      <w:r w:rsidRPr="00FC6831">
        <w:t xml:space="preserve"> IgM </w:t>
      </w:r>
      <w:r w:rsidR="004D5E47">
        <w:t>nonnegative</w:t>
      </w:r>
      <w:r w:rsidR="0041108C" w:rsidRPr="00FC6831">
        <w:t xml:space="preserve">, with </w:t>
      </w:r>
      <w:proofErr w:type="spellStart"/>
      <w:r w:rsidR="0041108C" w:rsidRPr="00FC6831">
        <w:t>Zika</w:t>
      </w:r>
      <w:proofErr w:type="spellEnd"/>
      <w:r w:rsidR="0041108C" w:rsidRPr="00FC6831">
        <w:t>-specific neutralizing antibodies detected by previous PRNT</w:t>
      </w:r>
      <w:r w:rsidR="00BF0112" w:rsidRPr="00FC6831">
        <w:t xml:space="preserve"> in either the mother’s or infant’s sample</w:t>
      </w:r>
      <w:r w:rsidR="000963F5">
        <w:t>;</w:t>
      </w:r>
      <w:r w:rsidR="0041108C" w:rsidRPr="00FC6831">
        <w:rPr>
          <w:vertAlign w:val="superscript"/>
        </w:rPr>
        <w:t>13</w:t>
      </w:r>
    </w:p>
    <w:p w14:paraId="06F75C53" w14:textId="433240EE" w:rsidR="00AE63E0" w:rsidRPr="00FC6831" w:rsidRDefault="001B3C17" w:rsidP="00B817D8">
      <w:pPr>
        <w:pStyle w:val="ListParagraph"/>
        <w:numPr>
          <w:ilvl w:val="1"/>
          <w:numId w:val="11"/>
        </w:numPr>
        <w:ind w:left="720"/>
      </w:pPr>
      <w:r w:rsidRPr="00FC6831">
        <w:t xml:space="preserve">Infants ≥ 18 months old, whose initial </w:t>
      </w:r>
      <w:r w:rsidR="00985810" w:rsidRPr="00FC6831">
        <w:t xml:space="preserve">(neonatal) </w:t>
      </w:r>
      <w:r w:rsidRPr="00FC6831">
        <w:t xml:space="preserve">sample was </w:t>
      </w:r>
      <w:r w:rsidR="00BF0112" w:rsidRPr="00FC6831">
        <w:t>negative by both</w:t>
      </w:r>
      <w:r w:rsidRPr="00FC6831">
        <w:t xml:space="preserve"> </w:t>
      </w:r>
      <w:r w:rsidR="00BF0112" w:rsidRPr="00FC6831">
        <w:t>MAC-ELISA and rRT-PCR</w:t>
      </w:r>
      <w:r w:rsidRPr="00FC6831">
        <w:t>,</w:t>
      </w:r>
      <w:r w:rsidR="00DA7DCA" w:rsidRPr="00FC6831">
        <w:rPr>
          <w:vertAlign w:val="superscript"/>
        </w:rPr>
        <w:t>13</w:t>
      </w:r>
      <w:r w:rsidRPr="00FC6831">
        <w:t xml:space="preserve"> </w:t>
      </w:r>
      <w:r w:rsidR="008B6071">
        <w:t xml:space="preserve">or who was not tested at birth, </w:t>
      </w:r>
      <w:r w:rsidRPr="00FC6831">
        <w:t>and both (1 and 2):</w:t>
      </w:r>
    </w:p>
    <w:p w14:paraId="18D34242" w14:textId="234EFCBB" w:rsidR="00843E1F" w:rsidRPr="00FC6831" w:rsidRDefault="001B3C17" w:rsidP="00B817D8">
      <w:pPr>
        <w:pStyle w:val="ListParagraph"/>
        <w:numPr>
          <w:ilvl w:val="2"/>
          <w:numId w:val="11"/>
        </w:numPr>
        <w:ind w:left="1080" w:hanging="360"/>
      </w:pPr>
      <w:r w:rsidRPr="00FC6831">
        <w:t xml:space="preserve">Infant’s mother had </w:t>
      </w:r>
      <w:r w:rsidR="008B6071">
        <w:t xml:space="preserve">laboratory evidence of possible </w:t>
      </w:r>
      <w:proofErr w:type="spellStart"/>
      <w:r w:rsidR="008B6071">
        <w:t>Zika</w:t>
      </w:r>
      <w:proofErr w:type="spellEnd"/>
      <w:r w:rsidR="008B6071">
        <w:t xml:space="preserve"> virus infection during pregnancy;</w:t>
      </w:r>
    </w:p>
    <w:p w14:paraId="17FBE794" w14:textId="06C504F5" w:rsidR="00843E1F" w:rsidRPr="00FC6831" w:rsidRDefault="00843E1F" w:rsidP="00B817D8">
      <w:pPr>
        <w:pStyle w:val="ListParagraph"/>
        <w:numPr>
          <w:ilvl w:val="2"/>
          <w:numId w:val="11"/>
        </w:numPr>
        <w:ind w:left="1080" w:hanging="360"/>
      </w:pPr>
      <w:r w:rsidRPr="00FC6831">
        <w:t xml:space="preserve">The infant has clinical findings suggestive of congenital </w:t>
      </w:r>
      <w:proofErr w:type="spellStart"/>
      <w:r w:rsidRPr="00FC6831">
        <w:t>Zika</w:t>
      </w:r>
      <w:proofErr w:type="spellEnd"/>
      <w:r w:rsidRPr="00FC6831">
        <w:t xml:space="preserve"> virus</w:t>
      </w:r>
      <w:r w:rsidR="00F55C39">
        <w:t xml:space="preserve"> syndrome</w:t>
      </w:r>
      <w:r w:rsidRPr="00FC6831">
        <w:t xml:space="preserve">, including </w:t>
      </w:r>
      <w:r w:rsidR="003B4943" w:rsidRPr="00FC6831">
        <w:t>any</w:t>
      </w:r>
      <w:r w:rsidRPr="00FC6831">
        <w:t xml:space="preserve"> of the following:</w:t>
      </w:r>
      <w:r w:rsidR="00235A33" w:rsidRPr="00FC6831">
        <w:rPr>
          <w:vertAlign w:val="superscript"/>
        </w:rPr>
        <w:t>13</w:t>
      </w:r>
    </w:p>
    <w:p w14:paraId="2B134972" w14:textId="3A06EC41" w:rsidR="00843E1F" w:rsidRPr="00FC6831" w:rsidRDefault="00843E1F" w:rsidP="00B817D8">
      <w:pPr>
        <w:pStyle w:val="ListParagraph"/>
        <w:numPr>
          <w:ilvl w:val="3"/>
          <w:numId w:val="11"/>
        </w:numPr>
        <w:ind w:left="1440"/>
      </w:pPr>
      <w:r w:rsidRPr="00FC6831">
        <w:t>Microcephaly;</w:t>
      </w:r>
    </w:p>
    <w:p w14:paraId="29C3541D" w14:textId="57906BD0" w:rsidR="00843E1F" w:rsidRPr="00FC6831" w:rsidRDefault="00843E1F" w:rsidP="00B817D8">
      <w:pPr>
        <w:pStyle w:val="ListParagraph"/>
        <w:numPr>
          <w:ilvl w:val="3"/>
          <w:numId w:val="11"/>
        </w:numPr>
        <w:ind w:left="1440"/>
      </w:pPr>
      <w:r w:rsidRPr="00FC6831">
        <w:t xml:space="preserve">Abnormal neuroimaging findings such as intracranial calcifications, decreased brain </w:t>
      </w:r>
      <w:r w:rsidR="00D273C4" w:rsidRPr="00FC6831">
        <w:t>parenchymal volume,</w:t>
      </w:r>
      <w:r w:rsidR="00E152CB" w:rsidRPr="00FC6831">
        <w:t xml:space="preserve"> </w:t>
      </w:r>
      <w:proofErr w:type="spellStart"/>
      <w:r w:rsidR="00E152CB" w:rsidRPr="00FC6831">
        <w:t>ventriculomegaly</w:t>
      </w:r>
      <w:proofErr w:type="spellEnd"/>
      <w:r w:rsidR="00E152CB" w:rsidRPr="00FC6831">
        <w:t xml:space="preserve"> and extra-axial fluid, abnormal </w:t>
      </w:r>
      <w:proofErr w:type="spellStart"/>
      <w:r w:rsidR="00E152CB" w:rsidRPr="00FC6831">
        <w:t>gyral</w:t>
      </w:r>
      <w:proofErr w:type="spellEnd"/>
      <w:r w:rsidR="00E152CB" w:rsidRPr="00FC6831">
        <w:t xml:space="preserve"> patterns, or hypoplasia of brain structures;</w:t>
      </w:r>
    </w:p>
    <w:p w14:paraId="61EBE7BB" w14:textId="13A80EF3" w:rsidR="00E152CB" w:rsidRPr="00FC6831" w:rsidRDefault="00E152CB" w:rsidP="00B817D8">
      <w:pPr>
        <w:pStyle w:val="ListParagraph"/>
        <w:numPr>
          <w:ilvl w:val="3"/>
          <w:numId w:val="11"/>
        </w:numPr>
        <w:ind w:left="1440"/>
      </w:pPr>
      <w:r w:rsidRPr="00FC6831">
        <w:t xml:space="preserve">Neurologic abnormalities such as </w:t>
      </w:r>
      <w:r w:rsidR="00772CB9">
        <w:t>congenital limb contractures, dysphagia, sensorineural hearing loss, epilepsy, abnormal tone or movement, including marked hypertonia and extrapyramidal movement;</w:t>
      </w:r>
    </w:p>
    <w:p w14:paraId="140CE49C" w14:textId="331BA875" w:rsidR="008C3511" w:rsidRDefault="00E152CB" w:rsidP="00B817D8">
      <w:pPr>
        <w:pStyle w:val="ListParagraph"/>
        <w:numPr>
          <w:ilvl w:val="3"/>
          <w:numId w:val="11"/>
        </w:numPr>
        <w:ind w:left="1440"/>
      </w:pPr>
      <w:r w:rsidRPr="00FC6831">
        <w:t xml:space="preserve">Ocular abnormalities such as </w:t>
      </w:r>
      <w:proofErr w:type="spellStart"/>
      <w:r w:rsidR="008B6071">
        <w:t>microphthalmia</w:t>
      </w:r>
      <w:proofErr w:type="spellEnd"/>
      <w:r w:rsidR="008B6071">
        <w:t xml:space="preserve">, </w:t>
      </w:r>
      <w:proofErr w:type="spellStart"/>
      <w:r w:rsidR="008B6071">
        <w:t>coloboma</w:t>
      </w:r>
      <w:proofErr w:type="spellEnd"/>
      <w:r w:rsidR="008B6071">
        <w:t xml:space="preserve">, intraocular calcifications, optic nerve hypoplasia and atrophy, </w:t>
      </w:r>
      <w:r w:rsidR="00772CB9">
        <w:t>macular disc scarring,</w:t>
      </w:r>
      <w:r w:rsidR="008C3511">
        <w:t xml:space="preserve"> or cortical visual impairment</w:t>
      </w:r>
      <w:r w:rsidR="00A93070">
        <w:t>.</w:t>
      </w:r>
    </w:p>
    <w:p w14:paraId="3225ED8A" w14:textId="3B898E6A" w:rsidR="00E152CB" w:rsidRPr="00FC6831" w:rsidRDefault="008C3511" w:rsidP="002D1A6E">
      <w:pPr>
        <w:pStyle w:val="ListParagraph"/>
        <w:numPr>
          <w:ilvl w:val="1"/>
          <w:numId w:val="11"/>
        </w:numPr>
        <w:ind w:left="1170"/>
      </w:pPr>
      <w:r>
        <w:lastRenderedPageBreak/>
        <w:t xml:space="preserve">IgM testing for </w:t>
      </w:r>
      <w:proofErr w:type="spellStart"/>
      <w:r>
        <w:t>Zika</w:t>
      </w:r>
      <w:proofErr w:type="spellEnd"/>
      <w:r>
        <w:t xml:space="preserve"> virus is ambiguous (e.g. inconclusive, equivocal, and indeterminate), and retesting has not resolved the ambiguity.</w:t>
      </w:r>
      <w:r>
        <w:rPr>
          <w:vertAlign w:val="superscript"/>
        </w:rPr>
        <w:t>4</w:t>
      </w:r>
    </w:p>
    <w:p w14:paraId="6273FC6F" w14:textId="77777777" w:rsidR="001B3C17" w:rsidRDefault="001B3C17" w:rsidP="00B817D8">
      <w:pPr>
        <w:pStyle w:val="ListParagraph"/>
        <w:ind w:left="1440"/>
      </w:pPr>
    </w:p>
    <w:p w14:paraId="5738852E" w14:textId="4B0CF2A0" w:rsidR="00983BF9" w:rsidRDefault="007E08CC" w:rsidP="008B6A0B">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w:t>
      </w:r>
      <w:r w:rsidR="00FF6A0B">
        <w:t>evaluation</w:t>
      </w:r>
      <w:r w:rsidR="0060725F">
        <w:t>,</w:t>
      </w:r>
      <w:r w:rsidR="00FF6A0B">
        <w:t xml:space="preserve"> including </w:t>
      </w:r>
      <w:proofErr w:type="spellStart"/>
      <w:r w:rsidR="00FF6A0B" w:rsidRPr="004504C3">
        <w:t>rRT</w:t>
      </w:r>
      <w:proofErr w:type="spellEnd"/>
      <w:r w:rsidR="00FF6A0B" w:rsidRPr="004504C3">
        <w:t xml:space="preserve">-PCR, histopathologic examination, and </w:t>
      </w:r>
      <w:proofErr w:type="spellStart"/>
      <w:r w:rsidR="00FF6A0B" w:rsidRPr="004504C3">
        <w:t>immunohistochemical</w:t>
      </w:r>
      <w:proofErr w:type="spellEnd"/>
      <w:r w:rsidR="00FF6A0B" w:rsidRPr="004504C3">
        <w:t xml:space="preserve"> staining</w:t>
      </w:r>
      <w:r w:rsidR="00983BF9" w:rsidRPr="004504C3">
        <w:t xml:space="preserve"> of placental and fetal tissue specimens</w:t>
      </w:r>
      <w:r w:rsidR="0060725F">
        <w:t>,</w:t>
      </w:r>
      <w:r>
        <w:t xml:space="preserve"> is </w:t>
      </w:r>
      <w:r w:rsidRPr="005D6347">
        <w:rPr>
          <w:b/>
        </w:rPr>
        <w:t>medically necessary</w:t>
      </w:r>
      <w:r>
        <w:t xml:space="preserve"> </w:t>
      </w:r>
      <w:r w:rsidR="00F10BD4">
        <w:t xml:space="preserve">for </w:t>
      </w:r>
      <w:r w:rsidR="00983BF9">
        <w:t>any of the following:</w:t>
      </w:r>
    </w:p>
    <w:p w14:paraId="41A703D5" w14:textId="2331C0D1" w:rsidR="00054016" w:rsidRDefault="00054016" w:rsidP="002D1A6E">
      <w:pPr>
        <w:pStyle w:val="ListParagraph"/>
        <w:numPr>
          <w:ilvl w:val="1"/>
          <w:numId w:val="11"/>
        </w:numPr>
        <w:ind w:left="720"/>
      </w:pPr>
      <w:r>
        <w:t>Testing of placental tissue</w:t>
      </w:r>
      <w:r w:rsidR="0060725F">
        <w:t xml:space="preserve"> after live birth</w:t>
      </w:r>
      <w:r>
        <w:t xml:space="preserve"> in s</w:t>
      </w:r>
      <w:r w:rsidRPr="00054016">
        <w:t xml:space="preserve">ymptomatic pregnant women and women with infants with possible </w:t>
      </w:r>
      <w:proofErr w:type="spellStart"/>
      <w:r w:rsidRPr="00054016">
        <w:t>Zika</w:t>
      </w:r>
      <w:proofErr w:type="spellEnd"/>
      <w:r w:rsidRPr="00054016">
        <w:t xml:space="preserve"> virus–associated birth defects, without a definitive diagnosis of laboratory-confirmed </w:t>
      </w:r>
      <w:proofErr w:type="spellStart"/>
      <w:r w:rsidRPr="00054016">
        <w:t>Zika</w:t>
      </w:r>
      <w:proofErr w:type="spellEnd"/>
      <w:r w:rsidRPr="00054016">
        <w:t xml:space="preserve"> virus infection during pregnancy</w:t>
      </w:r>
      <w:r>
        <w:t>;</w:t>
      </w:r>
    </w:p>
    <w:p w14:paraId="48044681" w14:textId="46BED716" w:rsidR="00054016" w:rsidRDefault="0060725F" w:rsidP="002D1A6E">
      <w:pPr>
        <w:pStyle w:val="ListParagraph"/>
        <w:numPr>
          <w:ilvl w:val="1"/>
          <w:numId w:val="11"/>
        </w:numPr>
        <w:ind w:left="720"/>
      </w:pPr>
      <w:r>
        <w:t>Testing of placental tissue after live birth</w:t>
      </w:r>
      <w:r w:rsidR="00054016">
        <w:t xml:space="preserve"> in a</w:t>
      </w:r>
      <w:r w:rsidR="00054016" w:rsidRPr="00054016">
        <w:t xml:space="preserve">symptomatic pregnant women who have recent possible </w:t>
      </w:r>
      <w:proofErr w:type="spellStart"/>
      <w:r w:rsidR="00054016" w:rsidRPr="00054016">
        <w:t>Zika</w:t>
      </w:r>
      <w:proofErr w:type="spellEnd"/>
      <w:r w:rsidR="00054016" w:rsidRPr="00054016">
        <w:t xml:space="preserve"> virus exposure </w:t>
      </w:r>
      <w:r w:rsidR="00054016">
        <w:t>and</w:t>
      </w:r>
      <w:r w:rsidR="00054016" w:rsidRPr="00054016">
        <w:t xml:space="preserve"> a fetus or infant with possible </w:t>
      </w:r>
      <w:proofErr w:type="spellStart"/>
      <w:r w:rsidR="00054016" w:rsidRPr="00054016">
        <w:t>Zika</w:t>
      </w:r>
      <w:proofErr w:type="spellEnd"/>
      <w:r>
        <w:t xml:space="preserve"> virus–associated birth defects;</w:t>
      </w:r>
    </w:p>
    <w:p w14:paraId="186666D4" w14:textId="7722E8B8" w:rsidR="007E08CC" w:rsidRPr="0035416C" w:rsidRDefault="00054016" w:rsidP="002D1A6E">
      <w:pPr>
        <w:pStyle w:val="ListParagraph"/>
        <w:numPr>
          <w:ilvl w:val="1"/>
          <w:numId w:val="11"/>
        </w:numPr>
        <w:ind w:left="720"/>
      </w:pPr>
      <w:r>
        <w:t xml:space="preserve">The evaluation of fetal loss and stillbirth if the woman </w:t>
      </w:r>
      <w:r w:rsidR="005E3367">
        <w:t xml:space="preserve">had recent possible </w:t>
      </w:r>
      <w:proofErr w:type="spellStart"/>
      <w:r w:rsidR="005E3367">
        <w:t>Zika</w:t>
      </w:r>
      <w:proofErr w:type="spellEnd"/>
      <w:r w:rsidR="005E3367">
        <w:t xml:space="preserve"> virus exposure</w:t>
      </w:r>
      <w:r>
        <w:t>.</w:t>
      </w:r>
      <w:r w:rsidRPr="00983BF9">
        <w:rPr>
          <w:vertAlign w:val="superscript"/>
        </w:rPr>
        <w:t>10</w:t>
      </w:r>
    </w:p>
    <w:p w14:paraId="3D4930B3" w14:textId="77777777" w:rsidR="00DD68B5" w:rsidRPr="002D1A6E" w:rsidRDefault="00DD68B5" w:rsidP="002D1A6E">
      <w:pPr>
        <w:ind w:left="360"/>
      </w:pPr>
    </w:p>
    <w:p w14:paraId="2B839F4B" w14:textId="06380749" w:rsidR="008B6A0B" w:rsidRDefault="008B6A0B" w:rsidP="008B6A0B">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that diagnostic tests to evaluate</w:t>
      </w:r>
      <w:r w:rsidR="006E59D5">
        <w:t xml:space="preserve"> for</w:t>
      </w:r>
      <w:r>
        <w:t xml:space="preserve"> </w:t>
      </w:r>
      <w:proofErr w:type="spellStart"/>
      <w:r>
        <w:t>Zika</w:t>
      </w:r>
      <w:proofErr w:type="spellEnd"/>
      <w:r>
        <w:t xml:space="preserve"> virus infection </w:t>
      </w:r>
      <w:r w:rsidRPr="00513C1D">
        <w:rPr>
          <w:bCs/>
        </w:rPr>
        <w:t xml:space="preserve">are considered </w:t>
      </w:r>
      <w:r w:rsidRPr="00513C1D">
        <w:rPr>
          <w:b/>
          <w:bCs/>
        </w:rPr>
        <w:t>experimental/investigational</w:t>
      </w:r>
      <w:r>
        <w:t xml:space="preserve"> under any of the following circumstances:</w:t>
      </w:r>
    </w:p>
    <w:p w14:paraId="7382D6A3" w14:textId="7206AA7D" w:rsidR="008B6A0B" w:rsidRDefault="002051CC" w:rsidP="008B6A0B">
      <w:pPr>
        <w:numPr>
          <w:ilvl w:val="1"/>
          <w:numId w:val="11"/>
        </w:numPr>
        <w:ind w:left="720"/>
      </w:pPr>
      <w:r>
        <w:t>T</w:t>
      </w:r>
      <w:r w:rsidR="008B6A0B">
        <w:t xml:space="preserve">esting for </w:t>
      </w:r>
      <w:r w:rsidR="00301578">
        <w:t>non-pregnant asymptomatic individuals;</w:t>
      </w:r>
    </w:p>
    <w:p w14:paraId="05884848" w14:textId="0E07F23A" w:rsidR="00301578" w:rsidRDefault="0018553B" w:rsidP="002D1A6E">
      <w:pPr>
        <w:pStyle w:val="ListParagraph"/>
        <w:numPr>
          <w:ilvl w:val="1"/>
          <w:numId w:val="11"/>
        </w:numPr>
        <w:ind w:left="720"/>
      </w:pPr>
      <w:r>
        <w:t>Preconception scr</w:t>
      </w:r>
      <w:r w:rsidR="00301578">
        <w:t>eening</w:t>
      </w:r>
      <w:r>
        <w:t>.</w:t>
      </w:r>
    </w:p>
    <w:p w14:paraId="028844C8" w14:textId="77777777" w:rsidR="00972225" w:rsidRDefault="00972225" w:rsidP="002D1A6E"/>
    <w:p w14:paraId="40C361A1" w14:textId="77777777" w:rsidR="00FB0592" w:rsidRDefault="00FB0592" w:rsidP="00FB0592">
      <w:pPr>
        <w:pStyle w:val="Heading2"/>
        <w:rPr>
          <w:u w:val="none"/>
        </w:rPr>
      </w:pPr>
      <w:r w:rsidRPr="00B777AF">
        <w:rPr>
          <w:u w:val="none"/>
        </w:rPr>
        <w:t>Background</w:t>
      </w:r>
    </w:p>
    <w:p w14:paraId="22854771" w14:textId="34CB389D" w:rsidR="00D67A88" w:rsidRPr="004F03EC" w:rsidRDefault="00E9378F" w:rsidP="002113E4">
      <w:proofErr w:type="spellStart"/>
      <w:r>
        <w:t>Zika</w:t>
      </w:r>
      <w:proofErr w:type="spellEnd"/>
      <w:r>
        <w:t xml:space="preserve"> virus is a </w:t>
      </w:r>
      <w:proofErr w:type="spellStart"/>
      <w:r>
        <w:t>flavivirus</w:t>
      </w:r>
      <w:proofErr w:type="spellEnd"/>
      <w:r>
        <w:t xml:space="preserve"> </w:t>
      </w:r>
      <w:r w:rsidR="00F05512">
        <w:t xml:space="preserve">that </w:t>
      </w:r>
      <w:r w:rsidR="00F04548">
        <w:t xml:space="preserve">was originally discovered from a sentinel rhesus monkey in the </w:t>
      </w:r>
      <w:proofErr w:type="spellStart"/>
      <w:r w:rsidR="00F04548">
        <w:t>Zika</w:t>
      </w:r>
      <w:proofErr w:type="spellEnd"/>
      <w:r w:rsidR="00F04548">
        <w:t xml:space="preserve"> Forest in Uganda during a study of yellow fever</w:t>
      </w:r>
      <w:r w:rsidR="00F04548" w:rsidRPr="00F04548">
        <w:t xml:space="preserve"> </w:t>
      </w:r>
      <w:r w:rsidR="00F04548">
        <w:t>in 1947</w:t>
      </w:r>
      <w:r w:rsidR="000D453E">
        <w:t>.</w:t>
      </w:r>
      <w:r w:rsidR="000D453E">
        <w:rPr>
          <w:vertAlign w:val="superscript"/>
        </w:rPr>
        <w:t>1</w:t>
      </w:r>
      <w:r w:rsidR="000D453E">
        <w:t xml:space="preserve">  </w:t>
      </w:r>
      <w:r w:rsidR="00323A62">
        <w:t xml:space="preserve">Since its discovery, few cases of </w:t>
      </w:r>
      <w:r w:rsidR="00D90DDA">
        <w:t>the</w:t>
      </w:r>
      <w:r w:rsidR="00323A62">
        <w:t xml:space="preserve"> inf</w:t>
      </w:r>
      <w:r w:rsidR="00A67B22">
        <w:t>ection had been reported until</w:t>
      </w:r>
      <w:r w:rsidR="00323A62">
        <w:t xml:space="preserve"> outbreak</w:t>
      </w:r>
      <w:r w:rsidR="00B71B09">
        <w:t>s</w:t>
      </w:r>
      <w:r w:rsidR="00323A62">
        <w:t xml:space="preserve"> in the State of Yap, Federated States of Micronesia</w:t>
      </w:r>
      <w:r w:rsidR="00FF0615">
        <w:t>,</w:t>
      </w:r>
      <w:r w:rsidR="00A67B22">
        <w:t xml:space="preserve"> and </w:t>
      </w:r>
      <w:r w:rsidR="00323A62">
        <w:t>French Polynesia in 20</w:t>
      </w:r>
      <w:r w:rsidR="00A67B22">
        <w:t>07</w:t>
      </w:r>
      <w:r w:rsidR="00323A62">
        <w:t xml:space="preserve"> and 20</w:t>
      </w:r>
      <w:r w:rsidR="00A67B22">
        <w:t>13, respectively</w:t>
      </w:r>
      <w:r w:rsidR="00323A62">
        <w:t>.</w:t>
      </w:r>
      <w:r w:rsidR="00A67B22">
        <w:rPr>
          <w:vertAlign w:val="superscript"/>
        </w:rPr>
        <w:t>1</w:t>
      </w:r>
      <w:r w:rsidR="00A67B22">
        <w:t xml:space="preserve"> </w:t>
      </w:r>
      <w:proofErr w:type="spellStart"/>
      <w:r w:rsidR="00FF0615" w:rsidRPr="00D67A88">
        <w:t>Zika</w:t>
      </w:r>
      <w:proofErr w:type="spellEnd"/>
      <w:r w:rsidR="00FF0615" w:rsidRPr="00D67A88">
        <w:t xml:space="preserve"> virus was </w:t>
      </w:r>
      <w:r w:rsidR="001B5739" w:rsidRPr="00D67A88">
        <w:t xml:space="preserve">first </w:t>
      </w:r>
      <w:r w:rsidR="00FF0615" w:rsidRPr="00D67A88">
        <w:t>identified in the Americas in March 2015 in Brazil</w:t>
      </w:r>
      <w:r w:rsidR="000A1498" w:rsidRPr="00D67A88">
        <w:t>.</w:t>
      </w:r>
      <w:r w:rsidR="00FF0615" w:rsidRPr="00D67A88">
        <w:rPr>
          <w:vertAlign w:val="superscript"/>
        </w:rPr>
        <w:t>1</w:t>
      </w:r>
      <w:r w:rsidR="00033F9B" w:rsidRPr="004F03EC">
        <w:t xml:space="preserve"> </w:t>
      </w:r>
      <w:r w:rsidR="001E0C33">
        <w:t xml:space="preserve">A summary of the 2016 </w:t>
      </w:r>
      <w:proofErr w:type="spellStart"/>
      <w:r w:rsidR="001E0C33">
        <w:t>Zika</w:t>
      </w:r>
      <w:proofErr w:type="spellEnd"/>
      <w:r w:rsidR="001E0C33">
        <w:t xml:space="preserve"> virus epidemic reported 5,168 cases of </w:t>
      </w:r>
      <w:proofErr w:type="spellStart"/>
      <w:r w:rsidR="001E0C33">
        <w:t>noncongenital</w:t>
      </w:r>
      <w:proofErr w:type="spellEnd"/>
      <w:r w:rsidR="001E0C33">
        <w:t xml:space="preserve"> </w:t>
      </w:r>
      <w:proofErr w:type="spellStart"/>
      <w:r w:rsidR="001E0C33">
        <w:t>Zika</w:t>
      </w:r>
      <w:proofErr w:type="spellEnd"/>
      <w:r w:rsidR="001E0C33">
        <w:t xml:space="preserve"> virus disease, with diagnoses in 49 states and the District of Columbia, although 48% were reported from three states: Florida, New York, and California.</w:t>
      </w:r>
      <w:r w:rsidR="001E0C33" w:rsidRPr="002D1A6E">
        <w:rPr>
          <w:vertAlign w:val="superscript"/>
        </w:rPr>
        <w:t>14</w:t>
      </w:r>
      <w:r w:rsidR="001E0C33">
        <w:t xml:space="preserve"> 95% of cases occurred in travelers returning from areas with </w:t>
      </w:r>
      <w:proofErr w:type="spellStart"/>
      <w:r w:rsidR="001E0C33">
        <w:t>Zika</w:t>
      </w:r>
      <w:proofErr w:type="spellEnd"/>
      <w:r w:rsidR="001E0C33">
        <w:t xml:space="preserve"> virus transmission, 4% of cases were locally transmitted, and 1% were acquired through sexual transmission, laboratory transmission, or an unknown route (1 person).</w:t>
      </w:r>
      <w:r w:rsidR="001E0C33">
        <w:rPr>
          <w:vertAlign w:val="superscript"/>
        </w:rPr>
        <w:t>14</w:t>
      </w:r>
      <w:r w:rsidR="001E0C33">
        <w:t xml:space="preserve"> </w:t>
      </w:r>
      <w:r w:rsidR="008431F1">
        <w:t xml:space="preserve">Compared to the first 8 months of 2016, the first 8 months of 2017 had significantly fewer reported cases of </w:t>
      </w:r>
      <w:proofErr w:type="spellStart"/>
      <w:r w:rsidR="008431F1">
        <w:t>Zika</w:t>
      </w:r>
      <w:proofErr w:type="spellEnd"/>
      <w:r w:rsidR="008431F1">
        <w:t xml:space="preserve"> virus - 4,205 vs. 331.</w:t>
      </w:r>
      <w:r w:rsidR="00F71455">
        <w:t xml:space="preserve">  In 2018, no local mosquito-born </w:t>
      </w:r>
      <w:proofErr w:type="spellStart"/>
      <w:r w:rsidR="00F71455">
        <w:t>Zika</w:t>
      </w:r>
      <w:proofErr w:type="spellEnd"/>
      <w:r w:rsidR="00F71455">
        <w:t xml:space="preserve"> virus transmission has been reported in the continental United States.</w:t>
      </w:r>
      <w:r w:rsidR="00F71455" w:rsidRPr="008F726A">
        <w:rPr>
          <w:vertAlign w:val="superscript"/>
        </w:rPr>
        <w:t>17</w:t>
      </w:r>
      <w:r w:rsidR="00F71455">
        <w:t xml:space="preserve">  </w:t>
      </w:r>
    </w:p>
    <w:p w14:paraId="6E127E62" w14:textId="77777777" w:rsidR="00D67A88" w:rsidRDefault="00D67A88" w:rsidP="002113E4">
      <w:pPr>
        <w:rPr>
          <w:highlight w:val="green"/>
        </w:rPr>
      </w:pPr>
    </w:p>
    <w:p w14:paraId="45AE317C" w14:textId="3F29DE96" w:rsidR="000D61D3" w:rsidRPr="000E0A0E" w:rsidRDefault="000A1498" w:rsidP="000D61D3">
      <w:r w:rsidRPr="00FF4519">
        <w:t xml:space="preserve">Among recent cases, </w:t>
      </w:r>
      <w:proofErr w:type="spellStart"/>
      <w:r w:rsidRPr="00FF4519">
        <w:t>Zika</w:t>
      </w:r>
      <w:proofErr w:type="spellEnd"/>
      <w:r w:rsidRPr="00FF4519">
        <w:t xml:space="preserve"> virus is primarily transmitted by the bite of infected </w:t>
      </w:r>
      <w:proofErr w:type="spellStart"/>
      <w:r w:rsidRPr="00FF4519">
        <w:rPr>
          <w:i/>
        </w:rPr>
        <w:t>Aedes</w:t>
      </w:r>
      <w:proofErr w:type="spellEnd"/>
      <w:r w:rsidRPr="00FF4519">
        <w:rPr>
          <w:i/>
        </w:rPr>
        <w:t xml:space="preserve"> </w:t>
      </w:r>
      <w:r w:rsidRPr="00FF4519">
        <w:t xml:space="preserve">species mosquitoes – most commonly through </w:t>
      </w:r>
      <w:r w:rsidRPr="00FF4519">
        <w:rPr>
          <w:i/>
        </w:rPr>
        <w:t>A</w:t>
      </w:r>
      <w:r w:rsidR="00FF4519">
        <w:rPr>
          <w:i/>
        </w:rPr>
        <w:t>e</w:t>
      </w:r>
      <w:r w:rsidRPr="00FF4519">
        <w:rPr>
          <w:i/>
        </w:rPr>
        <w:t xml:space="preserve">. </w:t>
      </w:r>
      <w:proofErr w:type="spellStart"/>
      <w:proofErr w:type="gramStart"/>
      <w:r w:rsidRPr="00FF4519">
        <w:rPr>
          <w:i/>
        </w:rPr>
        <w:t>aegypti</w:t>
      </w:r>
      <w:proofErr w:type="spellEnd"/>
      <w:proofErr w:type="gramEnd"/>
      <w:r w:rsidRPr="00FF4519">
        <w:rPr>
          <w:i/>
        </w:rPr>
        <w:t xml:space="preserve"> </w:t>
      </w:r>
      <w:r w:rsidRPr="00FF4519">
        <w:t xml:space="preserve">and possibly through </w:t>
      </w:r>
      <w:r w:rsidRPr="00FF4519">
        <w:rPr>
          <w:i/>
        </w:rPr>
        <w:t>A</w:t>
      </w:r>
      <w:r w:rsidR="00FF4519">
        <w:rPr>
          <w:i/>
        </w:rPr>
        <w:t>e</w:t>
      </w:r>
      <w:r w:rsidRPr="00FF4519">
        <w:rPr>
          <w:i/>
        </w:rPr>
        <w:t xml:space="preserve">. </w:t>
      </w:r>
      <w:proofErr w:type="spellStart"/>
      <w:r w:rsidRPr="00FF4519">
        <w:rPr>
          <w:i/>
        </w:rPr>
        <w:t>albopictus</w:t>
      </w:r>
      <w:proofErr w:type="spellEnd"/>
      <w:r w:rsidRPr="00FF4519">
        <w:rPr>
          <w:i/>
        </w:rPr>
        <w:t xml:space="preserve"> </w:t>
      </w:r>
      <w:r w:rsidRPr="00FF4519">
        <w:t>mosquitoes</w:t>
      </w:r>
      <w:r w:rsidR="00B401BF" w:rsidRPr="00FF4519">
        <w:t>.</w:t>
      </w:r>
      <w:r w:rsidR="00B401BF" w:rsidRPr="004F03EC">
        <w:rPr>
          <w:vertAlign w:val="superscript"/>
        </w:rPr>
        <w:t>3</w:t>
      </w:r>
      <w:r w:rsidR="00B401BF" w:rsidRPr="00FF4519">
        <w:t xml:space="preserve"> </w:t>
      </w:r>
      <w:r w:rsidR="00951A2F">
        <w:t xml:space="preserve">Documented sexual transmission of the </w:t>
      </w:r>
      <w:proofErr w:type="spellStart"/>
      <w:r w:rsidR="00B401BF" w:rsidRPr="00FF4519">
        <w:t>Zika</w:t>
      </w:r>
      <w:proofErr w:type="spellEnd"/>
      <w:r w:rsidR="00B401BF" w:rsidRPr="00FF4519">
        <w:t xml:space="preserve"> virus</w:t>
      </w:r>
      <w:r w:rsidR="00951A2F">
        <w:t xml:space="preserve"> </w:t>
      </w:r>
      <w:r w:rsidR="002245BB">
        <w:t>has occurred</w:t>
      </w:r>
      <w:r w:rsidRPr="00FF4519">
        <w:t xml:space="preserve"> from infected males to </w:t>
      </w:r>
      <w:r w:rsidR="003C1034">
        <w:t>their</w:t>
      </w:r>
      <w:r w:rsidRPr="00FF4519">
        <w:t xml:space="preserve"> sexual partners</w:t>
      </w:r>
      <w:proofErr w:type="gramStart"/>
      <w:r w:rsidR="008B1A87" w:rsidRPr="004F03EC">
        <w:t>,</w:t>
      </w:r>
      <w:r w:rsidR="008B1A87" w:rsidRPr="004F03EC">
        <w:rPr>
          <w:vertAlign w:val="superscript"/>
        </w:rPr>
        <w:t>4</w:t>
      </w:r>
      <w:proofErr w:type="gramEnd"/>
      <w:r w:rsidR="008B1A87" w:rsidRPr="004F03EC">
        <w:t xml:space="preserve"> </w:t>
      </w:r>
      <w:r w:rsidR="002245BB">
        <w:t xml:space="preserve">and </w:t>
      </w:r>
      <w:r w:rsidR="00D76771">
        <w:t xml:space="preserve">from </w:t>
      </w:r>
      <w:r w:rsidR="002245BB">
        <w:t>females</w:t>
      </w:r>
      <w:r w:rsidR="00D76771">
        <w:t xml:space="preserve"> to male sexual partners</w:t>
      </w:r>
      <w:r w:rsidR="00634ED4">
        <w:t>.</w:t>
      </w:r>
      <w:r w:rsidR="0080335C">
        <w:rPr>
          <w:vertAlign w:val="superscript"/>
        </w:rPr>
        <w:t>14</w:t>
      </w:r>
      <w:r w:rsidR="00D76771">
        <w:t xml:space="preserve"> </w:t>
      </w:r>
      <w:r w:rsidR="000D61D3">
        <w:t xml:space="preserve">At the present time, testing for risk for sexual transmission of </w:t>
      </w:r>
      <w:proofErr w:type="spellStart"/>
      <w:r w:rsidR="000D61D3">
        <w:t>Zika</w:t>
      </w:r>
      <w:proofErr w:type="spellEnd"/>
      <w:r w:rsidR="000D61D3">
        <w:t xml:space="preserve"> virus is of uncertain value unless either partner is symptomatic, and the couple is wishing to conceive, because of the limited understanding of the shedding of the virus in the male genitourinary tract.</w:t>
      </w:r>
      <w:r w:rsidR="000D61D3" w:rsidRPr="00340A10">
        <w:rPr>
          <w:vertAlign w:val="superscript"/>
        </w:rPr>
        <w:t>4</w:t>
      </w:r>
    </w:p>
    <w:p w14:paraId="19152F88" w14:textId="77777777" w:rsidR="000D61D3" w:rsidRDefault="000D61D3" w:rsidP="00C228E3"/>
    <w:p w14:paraId="627534BA" w14:textId="7F274971" w:rsidR="006D1298" w:rsidRPr="000E0A0E" w:rsidRDefault="0080335C" w:rsidP="006D1298">
      <w:r>
        <w:t>The</w:t>
      </w:r>
      <w:r w:rsidR="008B1A87" w:rsidRPr="004F03EC">
        <w:t xml:space="preserve"> virus can also be transmitted</w:t>
      </w:r>
      <w:r w:rsidR="00D76771">
        <w:t xml:space="preserve"> </w:t>
      </w:r>
      <w:r w:rsidR="008B1A87" w:rsidRPr="004F03EC">
        <w:t xml:space="preserve">from mother to fetus during </w:t>
      </w:r>
      <w:r w:rsidR="000D61D3">
        <w:t xml:space="preserve">any trimester of </w:t>
      </w:r>
      <w:r w:rsidR="008B1A87" w:rsidRPr="004F03EC">
        <w:t>pregnancy</w:t>
      </w:r>
      <w:r w:rsidR="008B1A87" w:rsidRPr="00FF4519">
        <w:t>.</w:t>
      </w:r>
      <w:r w:rsidR="002A1D95" w:rsidRPr="004F03EC">
        <w:rPr>
          <w:vertAlign w:val="superscript"/>
        </w:rPr>
        <w:t>3</w:t>
      </w:r>
      <w:r w:rsidR="00E24820" w:rsidRPr="00FF4519">
        <w:t xml:space="preserve"> </w:t>
      </w:r>
      <w:r>
        <w:t>Although m</w:t>
      </w:r>
      <w:r w:rsidR="0019305E" w:rsidRPr="00FF4519">
        <w:t xml:space="preserve">ost persons infected with </w:t>
      </w:r>
      <w:proofErr w:type="spellStart"/>
      <w:r w:rsidR="00E369A8" w:rsidRPr="00FF4519">
        <w:t>Zika</w:t>
      </w:r>
      <w:proofErr w:type="spellEnd"/>
      <w:r w:rsidR="00E369A8" w:rsidRPr="00FF4519">
        <w:t xml:space="preserve"> virus </w:t>
      </w:r>
      <w:r w:rsidR="0019305E" w:rsidRPr="00FF4519">
        <w:t xml:space="preserve">are </w:t>
      </w:r>
      <w:r w:rsidR="00E369A8" w:rsidRPr="00FF4519">
        <w:t>asymptomatic</w:t>
      </w:r>
      <w:r>
        <w:t>,</w:t>
      </w:r>
      <w:r w:rsidR="00E369A8" w:rsidRPr="00FF4519">
        <w:t xml:space="preserve"> the most common </w:t>
      </w:r>
      <w:r>
        <w:t>symptoms</w:t>
      </w:r>
      <w:r w:rsidRPr="00FF4519">
        <w:t xml:space="preserve"> </w:t>
      </w:r>
      <w:r w:rsidR="00E369A8" w:rsidRPr="00FF4519">
        <w:t xml:space="preserve">of </w:t>
      </w:r>
      <w:proofErr w:type="spellStart"/>
      <w:r w:rsidR="00C228E3" w:rsidRPr="00FF4519">
        <w:t>Zika</w:t>
      </w:r>
      <w:proofErr w:type="spellEnd"/>
      <w:r w:rsidR="00C228E3" w:rsidRPr="00FF4519">
        <w:t xml:space="preserve"> virus disease </w:t>
      </w:r>
      <w:r w:rsidR="00E369A8" w:rsidRPr="00FF4519">
        <w:t>are</w:t>
      </w:r>
      <w:r w:rsidR="00C228E3" w:rsidRPr="00FF4519">
        <w:t xml:space="preserve"> fever, rash, joint pain, </w:t>
      </w:r>
      <w:r w:rsidR="00E369A8" w:rsidRPr="00FF4519">
        <w:t>and</w:t>
      </w:r>
      <w:r w:rsidR="00C228E3" w:rsidRPr="00FF4519">
        <w:t xml:space="preserve"> conjunctivitis</w:t>
      </w:r>
      <w:r>
        <w:t>;</w:t>
      </w:r>
      <w:r w:rsidR="00CE112E" w:rsidRPr="00FF4519">
        <w:t xml:space="preserve"> these symptoms usua</w:t>
      </w:r>
      <w:r w:rsidR="004763B3" w:rsidRPr="00FF4519">
        <w:t xml:space="preserve">lly last for up </w:t>
      </w:r>
      <w:r w:rsidR="004763B3" w:rsidRPr="00FF4519">
        <w:lastRenderedPageBreak/>
        <w:t>to one week</w:t>
      </w:r>
      <w:r w:rsidR="00C228E3" w:rsidRPr="00FF4519">
        <w:t>.</w:t>
      </w:r>
      <w:r w:rsidR="0019305E" w:rsidRPr="004F03EC">
        <w:rPr>
          <w:vertAlign w:val="superscript"/>
        </w:rPr>
        <w:t>2</w:t>
      </w:r>
      <w:r w:rsidR="00C228E3" w:rsidRPr="00FF4519">
        <w:t xml:space="preserve">  </w:t>
      </w:r>
      <w:r w:rsidR="004763B3" w:rsidRPr="00FF4519">
        <w:t>No antiviral medication is available, and supportive care is recommended.</w:t>
      </w:r>
      <w:r w:rsidR="004763B3">
        <w:t xml:space="preserve">  </w:t>
      </w:r>
      <w:r w:rsidR="00AD20DE">
        <w:t xml:space="preserve">A causal relationship exists between prenatal </w:t>
      </w:r>
      <w:proofErr w:type="spellStart"/>
      <w:r w:rsidR="00AD20DE">
        <w:t>Zika</w:t>
      </w:r>
      <w:proofErr w:type="spellEnd"/>
      <w:r w:rsidR="00AD20DE">
        <w:t xml:space="preserve"> virus infection and congenital microcephaly, as well as other serious brain and eye anomalies.</w:t>
      </w:r>
      <w:r w:rsidR="002A1D95">
        <w:rPr>
          <w:vertAlign w:val="superscript"/>
        </w:rPr>
        <w:t>5</w:t>
      </w:r>
      <w:r w:rsidR="00AD20DE">
        <w:t xml:space="preserve"> </w:t>
      </w:r>
      <w:r w:rsidR="00AA1FA9">
        <w:t xml:space="preserve">Preliminary </w:t>
      </w:r>
      <w:r w:rsidR="00C6630E">
        <w:t>research has found</w:t>
      </w:r>
      <w:r w:rsidR="00AA1FA9">
        <w:t xml:space="preserve"> that the risk of congenital birth defects is greatest with </w:t>
      </w:r>
      <w:proofErr w:type="spellStart"/>
      <w:r w:rsidR="00AA1FA9">
        <w:t>Zika</w:t>
      </w:r>
      <w:proofErr w:type="spellEnd"/>
      <w:r w:rsidR="00AA1FA9">
        <w:t xml:space="preserve"> virus infection in the first and second trimesters.</w:t>
      </w:r>
      <w:r w:rsidR="00AA1FA9">
        <w:rPr>
          <w:vertAlign w:val="superscript"/>
        </w:rPr>
        <w:t>12</w:t>
      </w:r>
      <w:r w:rsidR="00042DB3">
        <w:t xml:space="preserve"> </w:t>
      </w:r>
    </w:p>
    <w:p w14:paraId="4574BED4" w14:textId="77777777" w:rsidR="002A1D95" w:rsidRDefault="002A1D95" w:rsidP="00C228E3"/>
    <w:p w14:paraId="2AC99D23" w14:textId="2139712F" w:rsidR="001220F4" w:rsidRDefault="00673684" w:rsidP="00C228E3">
      <w:r>
        <w:t>Further</w:t>
      </w:r>
      <w:r w:rsidR="0024354A">
        <w:t>more</w:t>
      </w:r>
      <w:r>
        <w:t xml:space="preserve">, </w:t>
      </w:r>
      <w:r w:rsidR="00EE7B0C">
        <w:t xml:space="preserve">a temporal and geographical </w:t>
      </w:r>
      <w:r w:rsidR="0024354A">
        <w:t>observation</w:t>
      </w:r>
      <w:r w:rsidR="00EE7B0C">
        <w:t xml:space="preserve"> has been made between </w:t>
      </w:r>
      <w:proofErr w:type="spellStart"/>
      <w:r w:rsidR="00EE7B0C">
        <w:t>Zika</w:t>
      </w:r>
      <w:proofErr w:type="spellEnd"/>
      <w:r w:rsidR="00EE7B0C">
        <w:t xml:space="preserve"> virus infection and Guillain-Barre syndrome.</w:t>
      </w:r>
      <w:r w:rsidR="00EE7B0C" w:rsidRPr="004F03EC">
        <w:rPr>
          <w:vertAlign w:val="superscript"/>
        </w:rPr>
        <w:t>1</w:t>
      </w:r>
      <w:r w:rsidR="00EE7B0C">
        <w:t xml:space="preserve"> </w:t>
      </w:r>
      <w:r w:rsidR="0024354A">
        <w:t>Continued i</w:t>
      </w:r>
      <w:r w:rsidR="001220F4">
        <w:t xml:space="preserve">nvestigations </w:t>
      </w:r>
      <w:r w:rsidR="0024354A">
        <w:t>attempt to</w:t>
      </w:r>
      <w:r w:rsidR="001220F4">
        <w:t xml:space="preserve"> understand the link between </w:t>
      </w:r>
      <w:proofErr w:type="spellStart"/>
      <w:r w:rsidR="001220F4">
        <w:t>Zika</w:t>
      </w:r>
      <w:proofErr w:type="spellEnd"/>
      <w:r w:rsidR="001220F4">
        <w:t xml:space="preserve"> virus infection and Guillain-Barre syndrome. </w:t>
      </w:r>
    </w:p>
    <w:p w14:paraId="139E248E" w14:textId="77777777" w:rsidR="00E32A70" w:rsidRDefault="00E32A70" w:rsidP="00E32A70"/>
    <w:p w14:paraId="34ED1116" w14:textId="011BF090" w:rsidR="008133CE" w:rsidRDefault="00FD59BE" w:rsidP="002113E4">
      <w:r>
        <w:t xml:space="preserve">The U.S. Food and Drug Administration (FDA) has issued an Emergency Use Authorization to allow </w:t>
      </w:r>
      <w:r w:rsidR="00EE7B0C">
        <w:t xml:space="preserve">the </w:t>
      </w:r>
      <w:r>
        <w:t xml:space="preserve">use of CDC’s diagnostic tools </w:t>
      </w:r>
      <w:r w:rsidR="003C1034">
        <w:t xml:space="preserve">to assess </w:t>
      </w:r>
      <w:proofErr w:type="spellStart"/>
      <w:r w:rsidR="003C1034">
        <w:t>Zika</w:t>
      </w:r>
      <w:proofErr w:type="spellEnd"/>
      <w:r w:rsidR="003C1034">
        <w:t xml:space="preserve"> virus infection.</w:t>
      </w:r>
      <w:r>
        <w:t xml:space="preserve"> The</w:t>
      </w:r>
      <w:r w:rsidR="00AD29B9">
        <w:t xml:space="preserve"> </w:t>
      </w:r>
      <w:r>
        <w:t xml:space="preserve">diagnostic tests </w:t>
      </w:r>
      <w:r w:rsidR="00AD29B9">
        <w:t xml:space="preserve">for evaluating </w:t>
      </w:r>
      <w:r w:rsidR="000D61D3">
        <w:t xml:space="preserve">for </w:t>
      </w:r>
      <w:proofErr w:type="spellStart"/>
      <w:r>
        <w:t>Zika</w:t>
      </w:r>
      <w:proofErr w:type="spellEnd"/>
      <w:r>
        <w:t xml:space="preserve"> virus infection i</w:t>
      </w:r>
      <w:r w:rsidR="00AD29B9">
        <w:t>nclude</w:t>
      </w:r>
      <w:r>
        <w:t xml:space="preserve"> </w:t>
      </w:r>
      <w:r w:rsidR="00C349DA">
        <w:t>NAT</w:t>
      </w:r>
      <w:r w:rsidR="007F25C4">
        <w:t xml:space="preserve"> </w:t>
      </w:r>
      <w:r>
        <w:t>and serologic testing.</w:t>
      </w:r>
      <w:r w:rsidR="00E32A70">
        <w:t xml:space="preserve">  </w:t>
      </w:r>
      <w:r w:rsidR="007F25C4">
        <w:t xml:space="preserve">Most tests that have received FDA emergency use authorization are </w:t>
      </w:r>
      <w:proofErr w:type="spellStart"/>
      <w:r w:rsidR="007F25C4">
        <w:t>rRT</w:t>
      </w:r>
      <w:proofErr w:type="spellEnd"/>
      <w:r w:rsidR="007F25C4">
        <w:t>-PCR tests</w:t>
      </w:r>
      <w:r w:rsidR="000B6130">
        <w:t xml:space="preserve"> </w:t>
      </w:r>
      <w:r w:rsidR="0085116A">
        <w:t xml:space="preserve">for the </w:t>
      </w:r>
      <w:r w:rsidR="0085116A" w:rsidRPr="0024354A">
        <w:rPr>
          <w:i/>
        </w:rPr>
        <w:t>in vitro</w:t>
      </w:r>
      <w:r w:rsidR="0085116A">
        <w:t xml:space="preserve"> detection of </w:t>
      </w:r>
      <w:proofErr w:type="spellStart"/>
      <w:r w:rsidR="0085116A">
        <w:t>Zika</w:t>
      </w:r>
      <w:proofErr w:type="spellEnd"/>
      <w:r w:rsidR="0085116A">
        <w:t xml:space="preserve"> virus</w:t>
      </w:r>
      <w:r w:rsidR="001B2F5F">
        <w:t xml:space="preserve"> nucleic acids</w:t>
      </w:r>
      <w:r w:rsidR="003C1034">
        <w:t xml:space="preserve">. </w:t>
      </w:r>
      <w:r w:rsidR="001B2F5F">
        <w:t>The CDC’</w:t>
      </w:r>
      <w:r w:rsidR="00AD29B9">
        <w:t>s</w:t>
      </w:r>
      <w:r w:rsidR="0028405C">
        <w:t xml:space="preserve"> </w:t>
      </w:r>
      <w:proofErr w:type="spellStart"/>
      <w:r w:rsidR="00AD29B9">
        <w:t>Trioplex</w:t>
      </w:r>
      <w:proofErr w:type="spellEnd"/>
      <w:r w:rsidR="00AD29B9">
        <w:t xml:space="preserve"> </w:t>
      </w:r>
      <w:proofErr w:type="spellStart"/>
      <w:r w:rsidR="00AD29B9">
        <w:t>rRT</w:t>
      </w:r>
      <w:proofErr w:type="spellEnd"/>
      <w:r w:rsidR="00AD29B9">
        <w:t>-PCR assesses</w:t>
      </w:r>
      <w:r w:rsidR="00DA7DCA">
        <w:t xml:space="preserve"> </w:t>
      </w:r>
      <w:proofErr w:type="spellStart"/>
      <w:r w:rsidR="00DA7DCA">
        <w:t>Zika</w:t>
      </w:r>
      <w:proofErr w:type="spellEnd"/>
      <w:r w:rsidR="00DA7DCA">
        <w:t>, dengue, and chikungunya</w:t>
      </w:r>
      <w:r w:rsidR="0028405C">
        <w:t xml:space="preserve"> viruses simultaneously</w:t>
      </w:r>
      <w:r w:rsidR="00AD29B9">
        <w:t>.</w:t>
      </w:r>
      <w:r w:rsidR="0028405C">
        <w:t xml:space="preserve"> </w:t>
      </w:r>
      <w:r w:rsidR="00792D76">
        <w:t xml:space="preserve">According to “Revised diagnostic testing for </w:t>
      </w:r>
      <w:proofErr w:type="spellStart"/>
      <w:r w:rsidR="00792D76">
        <w:t>Zika</w:t>
      </w:r>
      <w:proofErr w:type="spellEnd"/>
      <w:r w:rsidR="00792D76">
        <w:t>, dengue, and chikungunya viruses i</w:t>
      </w:r>
      <w:r w:rsidR="003C1034">
        <w:t xml:space="preserve">n US Public Health Laboratories,” </w:t>
      </w:r>
      <w:r w:rsidR="00792D76">
        <w:t>viral RNA can be identif</w:t>
      </w:r>
      <w:r w:rsidR="00D41AE3">
        <w:t>ied</w:t>
      </w:r>
      <w:r w:rsidR="00792D76">
        <w:t xml:space="preserve"> in serum during the first 7 days of these illnesses</w:t>
      </w:r>
      <w:proofErr w:type="gramStart"/>
      <w:r w:rsidR="00D41AE3">
        <w:t>,</w:t>
      </w:r>
      <w:r w:rsidR="00792D76">
        <w:rPr>
          <w:vertAlign w:val="superscript"/>
        </w:rPr>
        <w:t>7</w:t>
      </w:r>
      <w:proofErr w:type="gramEnd"/>
      <w:r w:rsidR="00792D76">
        <w:rPr>
          <w:vertAlign w:val="superscript"/>
        </w:rPr>
        <w:t xml:space="preserve"> </w:t>
      </w:r>
      <w:r w:rsidR="00D41AE3" w:rsidRPr="004F03EC">
        <w:t xml:space="preserve">and additional information </w:t>
      </w:r>
      <w:r w:rsidR="00D41AE3" w:rsidRPr="00D41AE3">
        <w:t>from</w:t>
      </w:r>
      <w:r w:rsidR="00D41AE3">
        <w:t xml:space="preserve"> the CDC states that urine samples can be collected less tha</w:t>
      </w:r>
      <w:r w:rsidR="00EE7B0C">
        <w:t>n</w:t>
      </w:r>
      <w:r w:rsidR="00D41AE3">
        <w:t xml:space="preserve"> 14 days after the onset of symptoms for </w:t>
      </w:r>
      <w:proofErr w:type="spellStart"/>
      <w:r w:rsidR="00D41AE3">
        <w:t>rRT</w:t>
      </w:r>
      <w:proofErr w:type="spellEnd"/>
      <w:r w:rsidR="00D41AE3">
        <w:t>-PCR testing.</w:t>
      </w:r>
      <w:r w:rsidR="00EE7B0C">
        <w:rPr>
          <w:vertAlign w:val="superscript"/>
        </w:rPr>
        <w:t>8</w:t>
      </w:r>
      <w:r w:rsidR="007D6ED3">
        <w:t xml:space="preserve">  </w:t>
      </w:r>
    </w:p>
    <w:p w14:paraId="05B546FF" w14:textId="77777777" w:rsidR="008133CE" w:rsidRDefault="008133CE" w:rsidP="002113E4"/>
    <w:p w14:paraId="16715B7D" w14:textId="76556248" w:rsidR="008B4330" w:rsidRDefault="008133CE" w:rsidP="002113E4">
      <w:pPr>
        <w:rPr>
          <w:vertAlign w:val="superscript"/>
        </w:rPr>
      </w:pPr>
      <w:r>
        <w:t>S</w:t>
      </w:r>
      <w:r w:rsidR="0028405C">
        <w:t xml:space="preserve">erologic testing </w:t>
      </w:r>
      <w:r w:rsidR="00DF5F61">
        <w:t xml:space="preserve">includes the </w:t>
      </w:r>
      <w:proofErr w:type="spellStart"/>
      <w:r w:rsidR="00DD1DA1">
        <w:t>Zika</w:t>
      </w:r>
      <w:proofErr w:type="spellEnd"/>
      <w:r w:rsidR="00DD1DA1">
        <w:t xml:space="preserve"> IgM </w:t>
      </w:r>
      <w:r w:rsidR="00DF5F61">
        <w:t xml:space="preserve">MAC-ELISA and </w:t>
      </w:r>
      <w:r w:rsidR="00DD1DA1">
        <w:t xml:space="preserve">PRNT </w:t>
      </w:r>
      <w:r w:rsidR="00DF5F61">
        <w:t>tests</w:t>
      </w:r>
      <w:r w:rsidR="00DD1DA1">
        <w:t xml:space="preserve"> </w:t>
      </w:r>
      <w:r w:rsidR="000B6130">
        <w:t>for the</w:t>
      </w:r>
      <w:r w:rsidR="00DD1DA1">
        <w:t xml:space="preserve"> respective </w:t>
      </w:r>
      <w:r w:rsidR="000B6130">
        <w:t xml:space="preserve">detection of </w:t>
      </w:r>
      <w:r w:rsidR="00DF5F61">
        <w:t>viral specific</w:t>
      </w:r>
      <w:r w:rsidR="000B6130">
        <w:t xml:space="preserve"> IgM </w:t>
      </w:r>
      <w:r w:rsidR="00DD1DA1">
        <w:t>and</w:t>
      </w:r>
      <w:r w:rsidR="00DF5F61">
        <w:t xml:space="preserve"> neutralizing </w:t>
      </w:r>
      <w:r w:rsidR="000B6130">
        <w:t xml:space="preserve">antibodies to </w:t>
      </w:r>
      <w:proofErr w:type="spellStart"/>
      <w:r w:rsidR="000B6130">
        <w:t>Zika</w:t>
      </w:r>
      <w:proofErr w:type="spellEnd"/>
      <w:r w:rsidR="000B6130">
        <w:t xml:space="preserve"> virus</w:t>
      </w:r>
      <w:r w:rsidR="00DD1DA1">
        <w:t>.</w:t>
      </w:r>
      <w:r w:rsidR="004B17B2">
        <w:t xml:space="preserve">  While virus specific IgM antibodies may be detectable ≥</w:t>
      </w:r>
      <w:r>
        <w:t xml:space="preserve"> </w:t>
      </w:r>
      <w:r w:rsidR="004B17B2">
        <w:t>4 days after onset of illness, serum collected within 7 days of illness onset may not have detectable levels of these antibodies.</w:t>
      </w:r>
      <w:r w:rsidR="004B17B2" w:rsidRPr="007B2D20">
        <w:rPr>
          <w:vertAlign w:val="superscript"/>
        </w:rPr>
        <w:t>7</w:t>
      </w:r>
      <w:r w:rsidR="004B17B2">
        <w:t xml:space="preserve"> IgM antibodies</w:t>
      </w:r>
      <w:r w:rsidR="00884307">
        <w:t xml:space="preserve"> to </w:t>
      </w:r>
      <w:proofErr w:type="spellStart"/>
      <w:r w:rsidR="00884307">
        <w:t>Zika</w:t>
      </w:r>
      <w:proofErr w:type="spellEnd"/>
      <w:r w:rsidR="00884307">
        <w:t xml:space="preserve"> virus</w:t>
      </w:r>
      <w:r w:rsidR="004B17B2">
        <w:t xml:space="preserve"> remain present for approximately 2-12 weeks</w:t>
      </w:r>
      <w:r w:rsidR="00884307">
        <w:t xml:space="preserve">, although there are reports of prolonged IgM responses with </w:t>
      </w:r>
      <w:proofErr w:type="spellStart"/>
      <w:r w:rsidR="00884307">
        <w:t>Zika</w:t>
      </w:r>
      <w:proofErr w:type="spellEnd"/>
      <w:r w:rsidR="00884307">
        <w:t xml:space="preserve"> virus infection, as with other flaviviruses</w:t>
      </w:r>
      <w:r w:rsidR="00AE6E5F">
        <w:t>.</w:t>
      </w:r>
      <w:r w:rsidR="00884307">
        <w:rPr>
          <w:vertAlign w:val="superscript"/>
        </w:rPr>
        <w:t>13</w:t>
      </w:r>
      <w:r w:rsidR="007D6ED3">
        <w:rPr>
          <w:vertAlign w:val="superscript"/>
        </w:rPr>
        <w:t xml:space="preserve">  </w:t>
      </w:r>
      <w:r w:rsidR="007D11C4" w:rsidRPr="00B817D8">
        <w:t>Furthermore,</w:t>
      </w:r>
      <w:r w:rsidR="007D11C4">
        <w:rPr>
          <w:vertAlign w:val="superscript"/>
        </w:rPr>
        <w:t xml:space="preserve"> </w:t>
      </w:r>
      <w:proofErr w:type="spellStart"/>
      <w:r w:rsidR="00AE6E5F" w:rsidRPr="00B817D8">
        <w:t>Zika</w:t>
      </w:r>
      <w:proofErr w:type="spellEnd"/>
      <w:r w:rsidR="00AE6E5F" w:rsidRPr="00B817D8">
        <w:t xml:space="preserve"> </w:t>
      </w:r>
      <w:r w:rsidR="00FF397D">
        <w:t>antibodies</w:t>
      </w:r>
      <w:r w:rsidR="00AE6E5F" w:rsidRPr="00B817D8">
        <w:t xml:space="preserve"> may be detectable</w:t>
      </w:r>
      <w:r w:rsidR="00AE6E5F">
        <w:t xml:space="preserve"> in pregnant women </w:t>
      </w:r>
      <w:r w:rsidR="00FF397D">
        <w:t>months after infection with the virus, making it difficult to determine whether they were infect</w:t>
      </w:r>
      <w:r w:rsidR="00001F5D">
        <w:t>ed</w:t>
      </w:r>
      <w:r w:rsidR="00FF397D">
        <w:t xml:space="preserve"> before or after conception.</w:t>
      </w:r>
      <w:r w:rsidR="00001F5D" w:rsidRPr="00B817D8">
        <w:rPr>
          <w:vertAlign w:val="superscript"/>
        </w:rPr>
        <w:t>1</w:t>
      </w:r>
      <w:r w:rsidR="00001F5D" w:rsidRPr="00001F5D">
        <w:rPr>
          <w:vertAlign w:val="superscript"/>
        </w:rPr>
        <w:t>3</w:t>
      </w:r>
      <w:r w:rsidR="00AE6E5F" w:rsidRPr="00001F5D">
        <w:rPr>
          <w:vertAlign w:val="superscript"/>
        </w:rPr>
        <w:t xml:space="preserve"> </w:t>
      </w:r>
      <w:r w:rsidR="00ED6C7B">
        <w:t xml:space="preserve">Importantly, an IgM positive result from the MAC-ELISA </w:t>
      </w:r>
      <w:r w:rsidR="00EE7B0C">
        <w:t>cannot</w:t>
      </w:r>
      <w:r w:rsidR="00ED6C7B">
        <w:t xml:space="preserve"> differentiate between the presence of </w:t>
      </w:r>
      <w:proofErr w:type="spellStart"/>
      <w:r w:rsidR="00ED6C7B">
        <w:t>Zika</w:t>
      </w:r>
      <w:proofErr w:type="spellEnd"/>
      <w:r w:rsidR="00ED6C7B">
        <w:t xml:space="preserve"> and dengue viruses, and thus is indicative of the presence of a flavivirus.</w:t>
      </w:r>
      <w:r w:rsidR="00EE7B0C" w:rsidRPr="007B2D20">
        <w:rPr>
          <w:vertAlign w:val="superscript"/>
        </w:rPr>
        <w:t>7</w:t>
      </w:r>
      <w:r w:rsidR="00ED6C7B">
        <w:t xml:space="preserve">  Therefore, PRNT assays can be used to discriminate between cross reacting antibodies</w:t>
      </w:r>
      <w:r w:rsidR="00FE6001">
        <w:t xml:space="preserve"> in </w:t>
      </w:r>
      <w:r w:rsidR="009A4203">
        <w:t xml:space="preserve">cases </w:t>
      </w:r>
      <w:r w:rsidR="00FE6001">
        <w:t>that are positive for IgM</w:t>
      </w:r>
      <w:r w:rsidR="00ED6C7B">
        <w:t>.</w:t>
      </w:r>
      <w:r w:rsidR="00ED6C7B" w:rsidRPr="007B2D20">
        <w:rPr>
          <w:vertAlign w:val="superscript"/>
        </w:rPr>
        <w:t>7</w:t>
      </w:r>
      <w:r w:rsidR="00ED6C7B">
        <w:rPr>
          <w:vertAlign w:val="superscript"/>
        </w:rPr>
        <w:t xml:space="preserve">  </w:t>
      </w:r>
    </w:p>
    <w:p w14:paraId="15CF7C64" w14:textId="77777777" w:rsidR="00BF052F" w:rsidRDefault="00BF052F" w:rsidP="002113E4">
      <w:pPr>
        <w:rPr>
          <w:vertAlign w:val="superscript"/>
        </w:rPr>
      </w:pPr>
    </w:p>
    <w:p w14:paraId="53E3C1B9" w14:textId="1EE8BA81" w:rsidR="00BF052F" w:rsidRPr="0035416C" w:rsidRDefault="00BF052F" w:rsidP="002113E4">
      <w:pPr>
        <w:rPr>
          <w:vertAlign w:val="superscript"/>
        </w:rPr>
      </w:pPr>
      <w:r>
        <w:t>Laboratory evidence of ma</w:t>
      </w:r>
      <w:r w:rsidR="0030007D">
        <w:t xml:space="preserve">ternal </w:t>
      </w:r>
      <w:proofErr w:type="spellStart"/>
      <w:r w:rsidR="0030007D">
        <w:t>Zika</w:t>
      </w:r>
      <w:proofErr w:type="spellEnd"/>
      <w:r w:rsidR="0030007D">
        <w:t xml:space="preserve"> virus infection includes</w:t>
      </w:r>
      <w:r>
        <w:t xml:space="preserve"> (1) </w:t>
      </w:r>
      <w:proofErr w:type="spellStart"/>
      <w:r>
        <w:t>Zika</w:t>
      </w:r>
      <w:proofErr w:type="spellEnd"/>
      <w:r>
        <w:t xml:space="preserve"> virus RNA detected by RT-PCR in any clinical specimen or (2) positive </w:t>
      </w:r>
      <w:proofErr w:type="spellStart"/>
      <w:r>
        <w:t>Zika</w:t>
      </w:r>
      <w:proofErr w:type="spellEnd"/>
      <w:r>
        <w:t xml:space="preserve"> virus IgM with confirmatory neutralizing antibody tiers that are ≥4 fold higher than dengue virus neutralizing antibody titers in serum</w:t>
      </w:r>
      <w:r w:rsidR="00FE6001">
        <w:t xml:space="preserve"> by PRNT</w:t>
      </w:r>
      <w:r>
        <w:t>.</w:t>
      </w:r>
      <w:r>
        <w:rPr>
          <w:vertAlign w:val="superscript"/>
        </w:rPr>
        <w:t>10</w:t>
      </w:r>
      <w:r>
        <w:t xml:space="preserve"> Testing is inconclusive if </w:t>
      </w:r>
      <w:proofErr w:type="spellStart"/>
      <w:r>
        <w:t>Zika</w:t>
      </w:r>
      <w:proofErr w:type="spellEnd"/>
      <w:r>
        <w:t xml:space="preserve"> virus neutralizing antibody tiers are &lt; 4</w:t>
      </w:r>
      <w:r w:rsidRPr="00BF052F">
        <w:t xml:space="preserve"> </w:t>
      </w:r>
      <w:r>
        <w:t>fold higher than dengue virus neutralizing antibody titers.</w:t>
      </w:r>
      <w:r>
        <w:rPr>
          <w:vertAlign w:val="superscript"/>
        </w:rPr>
        <w:t>10</w:t>
      </w:r>
    </w:p>
    <w:p w14:paraId="09DCA3E4" w14:textId="77777777" w:rsidR="003F3D44" w:rsidRDefault="003F3D44"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5D70FB19" w14:textId="77777777" w:rsidTr="000F0985">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70880B69" w14:textId="77777777" w:rsidR="00B777AF" w:rsidRPr="00B777AF" w:rsidRDefault="00B777AF" w:rsidP="00B777AF">
            <w:pPr>
              <w:rPr>
                <w:bCs w:val="0"/>
              </w:rPr>
            </w:pPr>
            <w:bookmarkStart w:id="0" w:name="Revision_Log"/>
            <w:r w:rsidRPr="00B777AF">
              <w:rPr>
                <w:bCs w:val="0"/>
              </w:rPr>
              <w:t>Reviews</w:t>
            </w:r>
            <w:r>
              <w:rPr>
                <w:bCs w:val="0"/>
              </w:rPr>
              <w:t>, Revisions, and Approvals</w:t>
            </w:r>
            <w:bookmarkEnd w:id="0"/>
          </w:p>
        </w:tc>
        <w:tc>
          <w:tcPr>
            <w:tcW w:w="810" w:type="dxa"/>
            <w:shd w:val="clear" w:color="auto" w:fill="00548C"/>
          </w:tcPr>
          <w:p w14:paraId="2E2AB415"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374B43B3"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15645AD8" w14:textId="77777777" w:rsidTr="000F098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525DDC73" w14:textId="6EBA77FA" w:rsidR="00B777AF" w:rsidRDefault="0027347E" w:rsidP="00902E3A">
            <w:pPr>
              <w:tabs>
                <w:tab w:val="num" w:pos="720"/>
              </w:tabs>
            </w:pPr>
            <w:r>
              <w:t>Policy developed.</w:t>
            </w:r>
          </w:p>
        </w:tc>
        <w:tc>
          <w:tcPr>
            <w:tcW w:w="810" w:type="dxa"/>
            <w:tcBorders>
              <w:top w:val="none" w:sz="0" w:space="0" w:color="auto"/>
              <w:bottom w:val="none" w:sz="0" w:space="0" w:color="auto"/>
            </w:tcBorders>
          </w:tcPr>
          <w:p w14:paraId="75DF16F8" w14:textId="029998A0" w:rsidR="00B777AF" w:rsidRDefault="0027347E" w:rsidP="005776FD">
            <w:pPr>
              <w:jc w:val="center"/>
              <w:cnfStyle w:val="000000100000" w:firstRow="0" w:lastRow="0" w:firstColumn="0" w:lastColumn="0" w:oddVBand="0" w:evenVBand="0" w:oddHBand="1" w:evenHBand="0" w:firstRowFirstColumn="0" w:firstRowLastColumn="0" w:lastRowFirstColumn="0" w:lastRowLastColumn="0"/>
            </w:pPr>
            <w:r>
              <w:t>05/16</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0A811737" w14:textId="464E18E4" w:rsidR="00B777AF" w:rsidRDefault="00AA1FA9" w:rsidP="00857C10">
            <w:pPr>
              <w:jc w:val="center"/>
            </w:pPr>
            <w:r>
              <w:t>06/16</w:t>
            </w:r>
          </w:p>
        </w:tc>
      </w:tr>
      <w:tr w:rsidR="00C07074" w14:paraId="7C71C824" w14:textId="77777777" w:rsidTr="000F0985">
        <w:trPr>
          <w:cantSplit/>
        </w:trPr>
        <w:tc>
          <w:tcPr>
            <w:cnfStyle w:val="000010000000" w:firstRow="0" w:lastRow="0" w:firstColumn="0" w:lastColumn="0" w:oddVBand="1" w:evenVBand="0" w:oddHBand="0" w:evenHBand="0" w:firstRowFirstColumn="0" w:firstRowLastColumn="0" w:lastRowFirstColumn="0" w:lastRowLastColumn="0"/>
            <w:tcW w:w="7578" w:type="dxa"/>
          </w:tcPr>
          <w:p w14:paraId="213B4EED" w14:textId="16C8FB28" w:rsidR="00C07074" w:rsidRDefault="00C07074" w:rsidP="00C07074">
            <w:pPr>
              <w:tabs>
                <w:tab w:val="num" w:pos="720"/>
              </w:tabs>
            </w:pPr>
            <w:r>
              <w:lastRenderedPageBreak/>
              <w:t xml:space="preserve">Defined sexual contact for purposes of this policy. </w:t>
            </w:r>
          </w:p>
          <w:p w14:paraId="53AFBA8D" w14:textId="7D91D23C" w:rsidR="00C07074" w:rsidRDefault="00C07074" w:rsidP="00C07074">
            <w:pPr>
              <w:tabs>
                <w:tab w:val="num" w:pos="720"/>
              </w:tabs>
            </w:pPr>
            <w:r>
              <w:t xml:space="preserve">Added the following to indications for section I. </w:t>
            </w:r>
            <w:proofErr w:type="spellStart"/>
            <w:r>
              <w:t>rRT</w:t>
            </w:r>
            <w:proofErr w:type="spellEnd"/>
            <w:r>
              <w:t xml:space="preserve">-PCR testing: Asymptomatic pregnant women within 14 days of contact with exposure from travel, residence, or sexual contact; asymptomatic pregnant women with a positive or equivocal MAC-ELISA test, 2-12 weeks from exposure;  amniocentesis specimens if collected for a purpose other than </w:t>
            </w:r>
            <w:proofErr w:type="spellStart"/>
            <w:r>
              <w:t>Zika</w:t>
            </w:r>
            <w:proofErr w:type="spellEnd"/>
            <w:r>
              <w:t xml:space="preserve"> testing; men or women within 14 days of onset of symptoms of </w:t>
            </w:r>
            <w:proofErr w:type="spellStart"/>
            <w:r>
              <w:t>Zika</w:t>
            </w:r>
            <w:proofErr w:type="spellEnd"/>
            <w:r>
              <w:t xml:space="preserve"> virus infection, who want to conceive, and one or both partners live in an area of ongoing </w:t>
            </w:r>
            <w:proofErr w:type="spellStart"/>
            <w:r>
              <w:t>Zika</w:t>
            </w:r>
            <w:proofErr w:type="spellEnd"/>
            <w:r>
              <w:t xml:space="preserve"> virus transmission. Loosened requirement for neonates to have </w:t>
            </w:r>
            <w:proofErr w:type="spellStart"/>
            <w:r>
              <w:t>rRT</w:t>
            </w:r>
            <w:proofErr w:type="spellEnd"/>
            <w:r>
              <w:t xml:space="preserve">-PCR testing performed within 2 days of birth. </w:t>
            </w:r>
          </w:p>
          <w:p w14:paraId="5C327540" w14:textId="7644B92F" w:rsidR="00C07074" w:rsidRDefault="00B817D8" w:rsidP="00B817D8">
            <w:pPr>
              <w:tabs>
                <w:tab w:val="num" w:pos="720"/>
              </w:tabs>
            </w:pPr>
            <w:r>
              <w:t>Edited</w:t>
            </w:r>
            <w:r w:rsidR="00C07074">
              <w:t xml:space="preserve"> the following indications for section II. MAC-ELISA with subsequent PRNT testing: </w:t>
            </w:r>
            <w:r>
              <w:t xml:space="preserve">added “even if </w:t>
            </w:r>
            <w:proofErr w:type="spellStart"/>
            <w:r>
              <w:t>rRT</w:t>
            </w:r>
            <w:proofErr w:type="spellEnd"/>
            <w:r>
              <w:t xml:space="preserve">-PCR result was negative” to asymptomatic pregnant women with exposure through travel or sexual contact, within 2 – 12 weeks; added “Symptomatic men or women who want to conceive, are within 2-12 weeks of onset of symptoms of </w:t>
            </w:r>
            <w:proofErr w:type="spellStart"/>
            <w:r>
              <w:t>Zika</w:t>
            </w:r>
            <w:proofErr w:type="spellEnd"/>
            <w:r>
              <w:t xml:space="preserve"> virus infection, and one or both partners live in an area of ongoing </w:t>
            </w:r>
            <w:proofErr w:type="spellStart"/>
            <w:r>
              <w:t>Zika</w:t>
            </w:r>
            <w:proofErr w:type="spellEnd"/>
            <w:r>
              <w:t xml:space="preserve"> virus transmission”; noted that PRNT testing is not currently recommended in Puerto Rico.</w:t>
            </w:r>
          </w:p>
          <w:p w14:paraId="55C8C169" w14:textId="77777777" w:rsidR="00B817D8" w:rsidRDefault="00B817D8" w:rsidP="00B817D8">
            <w:pPr>
              <w:tabs>
                <w:tab w:val="num" w:pos="720"/>
              </w:tabs>
            </w:pPr>
            <w:r>
              <w:t xml:space="preserve">Added section III. PRNT testing for </w:t>
            </w:r>
            <w:proofErr w:type="gramStart"/>
            <w:r>
              <w:t>infants</w:t>
            </w:r>
            <w:proofErr w:type="gramEnd"/>
            <w:r>
              <w:t xml:space="preserve"> ≥ 18 months old who either: 1) had </w:t>
            </w:r>
            <w:proofErr w:type="spellStart"/>
            <w:r>
              <w:t>Zika</w:t>
            </w:r>
            <w:proofErr w:type="spellEnd"/>
            <w:r>
              <w:t xml:space="preserve"> positive IgM results and positive PRNT results in either mother or infant’s sample 2) Were negative for </w:t>
            </w:r>
            <w:proofErr w:type="spellStart"/>
            <w:r>
              <w:t>Zika</w:t>
            </w:r>
            <w:proofErr w:type="spellEnd"/>
            <w:r>
              <w:t xml:space="preserve"> IgM but are symptomatic, and born to mothers with positive IgM or </w:t>
            </w:r>
            <w:proofErr w:type="spellStart"/>
            <w:r>
              <w:t>rRT</w:t>
            </w:r>
            <w:proofErr w:type="spellEnd"/>
            <w:r>
              <w:t xml:space="preserve">-PCR test for </w:t>
            </w:r>
            <w:proofErr w:type="spellStart"/>
            <w:r>
              <w:t>Zika</w:t>
            </w:r>
            <w:proofErr w:type="spellEnd"/>
            <w:r>
              <w:t>.</w:t>
            </w:r>
          </w:p>
          <w:p w14:paraId="49578251" w14:textId="0125A767" w:rsidR="00B817D8" w:rsidRDefault="00B817D8" w:rsidP="00B817D8">
            <w:pPr>
              <w:tabs>
                <w:tab w:val="num" w:pos="720"/>
              </w:tabs>
            </w:pPr>
            <w:r>
              <w:t>Edited background to reflect literature and CDC guidance updates.</w:t>
            </w:r>
          </w:p>
        </w:tc>
        <w:tc>
          <w:tcPr>
            <w:tcW w:w="810" w:type="dxa"/>
          </w:tcPr>
          <w:p w14:paraId="3D2F4042" w14:textId="626EB9F0" w:rsidR="00C07074" w:rsidRDefault="00DA7DCA" w:rsidP="005776FD">
            <w:pPr>
              <w:jc w:val="center"/>
              <w:cnfStyle w:val="000000000000" w:firstRow="0" w:lastRow="0" w:firstColumn="0" w:lastColumn="0" w:oddVBand="0" w:evenVBand="0" w:oddHBand="0" w:evenHBand="0" w:firstRowFirstColumn="0" w:firstRowLastColumn="0" w:lastRowFirstColumn="0" w:lastRowLastColumn="0"/>
            </w:pPr>
            <w:r>
              <w:t>05/17</w:t>
            </w:r>
          </w:p>
        </w:tc>
        <w:tc>
          <w:tcPr>
            <w:cnfStyle w:val="000010000000" w:firstRow="0" w:lastRow="0" w:firstColumn="0" w:lastColumn="0" w:oddVBand="1" w:evenVBand="0" w:oddHBand="0" w:evenHBand="0" w:firstRowFirstColumn="0" w:firstRowLastColumn="0" w:lastRowFirstColumn="0" w:lastRowLastColumn="0"/>
            <w:tcW w:w="1260" w:type="dxa"/>
          </w:tcPr>
          <w:p w14:paraId="58C0EDDB" w14:textId="7ACD44E4" w:rsidR="00C07074" w:rsidRDefault="00685D21" w:rsidP="00857C10">
            <w:pPr>
              <w:jc w:val="center"/>
            </w:pPr>
            <w:r>
              <w:t>06/17</w:t>
            </w:r>
          </w:p>
        </w:tc>
      </w:tr>
      <w:tr w:rsidR="00E07778" w14:paraId="2C81937B" w14:textId="77777777" w:rsidTr="002D1A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307601C2" w14:textId="6AB89CED" w:rsidR="001F2BE8" w:rsidRDefault="005560A5" w:rsidP="001F2BE8">
            <w:pPr>
              <w:tabs>
                <w:tab w:val="num" w:pos="720"/>
              </w:tabs>
            </w:pPr>
            <w:r>
              <w:t xml:space="preserve">Simplified definition of possible </w:t>
            </w:r>
            <w:proofErr w:type="spellStart"/>
            <w:r>
              <w:t>Zika</w:t>
            </w:r>
            <w:proofErr w:type="spellEnd"/>
            <w:r>
              <w:t xml:space="preserve"> exposure. </w:t>
            </w:r>
          </w:p>
          <w:p w14:paraId="4FEF1A40" w14:textId="77777777" w:rsidR="00E568C1" w:rsidRDefault="005560A5" w:rsidP="002D1A6E">
            <w:pPr>
              <w:tabs>
                <w:tab w:val="num" w:pos="720"/>
              </w:tabs>
            </w:pPr>
            <w:r>
              <w:t>Section I (nucleic acid testing): S</w:t>
            </w:r>
            <w:r w:rsidR="00C11FD2">
              <w:t xml:space="preserve">pecified that medically necessary tests include FDA EUA nucleic acid testing, including </w:t>
            </w:r>
            <w:proofErr w:type="spellStart"/>
            <w:r w:rsidR="00C11FD2">
              <w:t>r</w:t>
            </w:r>
            <w:r>
              <w:t>RT</w:t>
            </w:r>
            <w:proofErr w:type="spellEnd"/>
            <w:r>
              <w:t xml:space="preserve">-PCR; added indication for symptomatic </w:t>
            </w:r>
            <w:proofErr w:type="spellStart"/>
            <w:r>
              <w:t>nonpregnant</w:t>
            </w:r>
            <w:proofErr w:type="spellEnd"/>
            <w:r>
              <w:t xml:space="preserve"> individuals; changed indication for asymptomatic pregnant women with any exposure in the past 14 days to asymptomatic women with ongoing exposure; added indication for testing of asymptomatic pregnant women without ongoing exposure, if epidemiologic considerations warrant it; </w:t>
            </w:r>
            <w:r w:rsidR="001F2BE8">
              <w:t xml:space="preserve">added indication for pregnant women with recent possible exposure and ultrasound findings suggestive of congenital </w:t>
            </w:r>
            <w:proofErr w:type="spellStart"/>
            <w:r w:rsidR="001F2BE8">
              <w:t>Zika</w:t>
            </w:r>
            <w:proofErr w:type="spellEnd"/>
            <w:r w:rsidR="001F2BE8">
              <w:t xml:space="preserve"> syndrome; added indication for testing of pregnant women with fetal ultrasound findings consistent with congenital </w:t>
            </w:r>
            <w:proofErr w:type="spellStart"/>
            <w:r w:rsidR="001F2BE8">
              <w:t>Zika</w:t>
            </w:r>
            <w:proofErr w:type="spellEnd"/>
            <w:r w:rsidR="001F2BE8">
              <w:t xml:space="preserve"> syndrome; changed “neonates with microcephaly or intracranial calcifications” to “infants with findings suggestive of congenital </w:t>
            </w:r>
            <w:proofErr w:type="spellStart"/>
            <w:r w:rsidR="001F2BE8">
              <w:t>Zika</w:t>
            </w:r>
            <w:proofErr w:type="spellEnd"/>
            <w:r w:rsidR="001F2BE8">
              <w:t xml:space="preserve"> virus syndrome” in indication for testing of infants born to women with possible </w:t>
            </w:r>
            <w:proofErr w:type="spellStart"/>
            <w:r w:rsidR="001F2BE8">
              <w:t>Zika</w:t>
            </w:r>
            <w:proofErr w:type="spellEnd"/>
            <w:r w:rsidR="001F2BE8">
              <w:t xml:space="preserve"> exposure; changed “neonates without microcephaly or intracranial calcifications” to “infants without findings suggestive of congenital </w:t>
            </w:r>
            <w:proofErr w:type="spellStart"/>
            <w:r w:rsidR="001F2BE8">
              <w:t>Zika</w:t>
            </w:r>
            <w:proofErr w:type="spellEnd"/>
            <w:r w:rsidR="001F2BE8">
              <w:t xml:space="preserve"> virus syndrome” in indication for testing of infants born to women with positive or inconclusive </w:t>
            </w:r>
            <w:proofErr w:type="spellStart"/>
            <w:r w:rsidR="001F2BE8">
              <w:t>Zika</w:t>
            </w:r>
            <w:proofErr w:type="spellEnd"/>
            <w:r w:rsidR="001F2BE8">
              <w:t xml:space="preserve"> virus test results; added indication for repeat testing if first result is inconclusive or equivocal. </w:t>
            </w:r>
          </w:p>
          <w:p w14:paraId="5FF787AB" w14:textId="176E6286" w:rsidR="00E07778" w:rsidRDefault="001F2BE8" w:rsidP="00CF7385">
            <w:pPr>
              <w:tabs>
                <w:tab w:val="num" w:pos="720"/>
              </w:tabs>
            </w:pPr>
            <w:r>
              <w:t xml:space="preserve">Section II (IgM/ PRNT): Changed medical necessity statement to say that PRNT is necessary for testing of “nonnegative” samples, instead of </w:t>
            </w:r>
          </w:p>
        </w:tc>
        <w:tc>
          <w:tcPr>
            <w:tcW w:w="810" w:type="dxa"/>
          </w:tcPr>
          <w:p w14:paraId="361C8EED" w14:textId="0203AF61" w:rsidR="00E07778" w:rsidRDefault="00E07778" w:rsidP="005776FD">
            <w:pPr>
              <w:jc w:val="center"/>
              <w:cnfStyle w:val="000000100000" w:firstRow="0" w:lastRow="0" w:firstColumn="0" w:lastColumn="0" w:oddVBand="0" w:evenVBand="0" w:oddHBand="1" w:evenHBand="0" w:firstRowFirstColumn="0" w:firstRowLastColumn="0" w:lastRowFirstColumn="0" w:lastRowLastColumn="0"/>
            </w:pPr>
            <w:r>
              <w:t>05/18</w:t>
            </w:r>
          </w:p>
        </w:tc>
        <w:tc>
          <w:tcPr>
            <w:cnfStyle w:val="000010000000" w:firstRow="0" w:lastRow="0" w:firstColumn="0" w:lastColumn="0" w:oddVBand="1" w:evenVBand="0" w:oddHBand="0" w:evenHBand="0" w:firstRowFirstColumn="0" w:firstRowLastColumn="0" w:lastRowFirstColumn="0" w:lastRowLastColumn="0"/>
            <w:tcW w:w="1260" w:type="dxa"/>
          </w:tcPr>
          <w:p w14:paraId="00A3F1D8" w14:textId="27E88607" w:rsidR="00E07778" w:rsidRDefault="00C349DA" w:rsidP="00857C10">
            <w:pPr>
              <w:jc w:val="center"/>
            </w:pPr>
            <w:r>
              <w:t>05/18</w:t>
            </w:r>
          </w:p>
        </w:tc>
      </w:tr>
      <w:tr w:rsidR="00CF7385" w14:paraId="6F949B47" w14:textId="77777777" w:rsidTr="002D1A6E">
        <w:tc>
          <w:tcPr>
            <w:cnfStyle w:val="000010000000" w:firstRow="0" w:lastRow="0" w:firstColumn="0" w:lastColumn="0" w:oddVBand="1" w:evenVBand="0" w:oddHBand="0" w:evenHBand="0" w:firstRowFirstColumn="0" w:firstRowLastColumn="0" w:lastRowFirstColumn="0" w:lastRowLastColumn="0"/>
            <w:tcW w:w="7578" w:type="dxa"/>
          </w:tcPr>
          <w:p w14:paraId="763EEC8C" w14:textId="77777777" w:rsidR="00CF7385" w:rsidRDefault="00CF7385" w:rsidP="00CF7385">
            <w:pPr>
              <w:tabs>
                <w:tab w:val="num" w:pos="720"/>
              </w:tabs>
            </w:pPr>
            <w:r>
              <w:lastRenderedPageBreak/>
              <w:t xml:space="preserve">“positive samples; added indication for “symptomatic non-pregnant individuals with possible </w:t>
            </w:r>
            <w:proofErr w:type="spellStart"/>
            <w:r>
              <w:t>Zika</w:t>
            </w:r>
            <w:proofErr w:type="spellEnd"/>
            <w:r>
              <w:t xml:space="preserve"> virus exposure, if &lt; 14 days from symptom onset and </w:t>
            </w:r>
            <w:proofErr w:type="spellStart"/>
            <w:r>
              <w:t>rRT</w:t>
            </w:r>
            <w:proofErr w:type="spellEnd"/>
            <w:r>
              <w:t xml:space="preserve">-PCR is negative, or if  ≥ 14 days after symptom onset;” specified that testing of asymptomatic pregnant women with possible exposure via travel or sexual contact be done if epidemiologic considerations warrant it; removed indications for testing of asymptomatic pregnant women with ongoing exposure, as well as testing of symptomatic individuals wanting to conceive (included in another indication); changed “neonates with microcephaly or intracranial calcifications” to “infants with findings suggestive of congenital </w:t>
            </w:r>
            <w:proofErr w:type="spellStart"/>
            <w:r>
              <w:t>Zika</w:t>
            </w:r>
            <w:proofErr w:type="spellEnd"/>
            <w:r>
              <w:t xml:space="preserve"> virus syndrome” in indication for testing of infants born to women with possible </w:t>
            </w:r>
            <w:proofErr w:type="spellStart"/>
            <w:r>
              <w:t>Zika</w:t>
            </w:r>
            <w:proofErr w:type="spellEnd"/>
            <w:r>
              <w:t xml:space="preserve"> exposure; changed “neonates without microcephaly or intracranial calcifications” to “infants without findings suggestive of congenital </w:t>
            </w:r>
            <w:proofErr w:type="spellStart"/>
            <w:r>
              <w:t>Zika</w:t>
            </w:r>
            <w:proofErr w:type="spellEnd"/>
            <w:r>
              <w:t xml:space="preserve"> virus syndrome” in indication for testing of infants born to women with positive or inconclusive </w:t>
            </w:r>
            <w:proofErr w:type="spellStart"/>
            <w:r>
              <w:t>Zika</w:t>
            </w:r>
            <w:proofErr w:type="spellEnd"/>
            <w:r>
              <w:t xml:space="preserve"> virus test results; added indication for repeat testing if first result is inconclusive or equivocal. </w:t>
            </w:r>
          </w:p>
          <w:p w14:paraId="6705B423" w14:textId="77777777" w:rsidR="00CF7385" w:rsidRDefault="00CF7385" w:rsidP="00CF7385">
            <w:r>
              <w:t xml:space="preserve">Section III (PRNT Testing): Added indication for “infants whose initial sample is IgM nonnegative and </w:t>
            </w:r>
            <w:proofErr w:type="spellStart"/>
            <w:r>
              <w:t>rRT</w:t>
            </w:r>
            <w:proofErr w:type="spellEnd"/>
            <w:r>
              <w:t>-PCR results were negative, if PRNT was not performed on the mother’s sample;” added “or who was not tested at birth” to indications for “</w:t>
            </w:r>
            <w:r w:rsidRPr="00FC6831">
              <w:t>Infants ≥ 18 months old, whose initial (neonatal) sample was negative</w:t>
            </w:r>
            <w:r>
              <w:t>;” changed “</w:t>
            </w:r>
            <w:r w:rsidRPr="00FC6831">
              <w:t>Infants ≥ 18 months old, whose initial (neonatal) sample was negative</w:t>
            </w:r>
            <w:r>
              <w:t xml:space="preserve">” indication to require that the mother had lab evidence of possible </w:t>
            </w:r>
            <w:proofErr w:type="spellStart"/>
            <w:r>
              <w:t>zika</w:t>
            </w:r>
            <w:proofErr w:type="spellEnd"/>
            <w:r>
              <w:t xml:space="preserve"> infection in pregnancy; edited neurologic and ophthalmologic findings of congenital </w:t>
            </w:r>
            <w:proofErr w:type="spellStart"/>
            <w:r>
              <w:t>Zika</w:t>
            </w:r>
            <w:proofErr w:type="spellEnd"/>
            <w:r>
              <w:t xml:space="preserve"> syndrome findings per CDC guidelines; added indication for ambiguous IgM testing if not resolved by retesting.</w:t>
            </w:r>
          </w:p>
          <w:p w14:paraId="60DC9787" w14:textId="77777777" w:rsidR="00CF7385" w:rsidRDefault="00CF7385" w:rsidP="00CF7385">
            <w:r>
              <w:t>Section IV (placental and fetal tissue): Added indications for testing placental tissue if the pregnant woman was symptom</w:t>
            </w:r>
            <w:bookmarkStart w:id="1" w:name="_GoBack"/>
            <w:bookmarkEnd w:id="1"/>
            <w:r>
              <w:t xml:space="preserve">atic without a definitive </w:t>
            </w:r>
            <w:proofErr w:type="spellStart"/>
            <w:r>
              <w:t>Zika</w:t>
            </w:r>
            <w:proofErr w:type="spellEnd"/>
            <w:r>
              <w:t xml:space="preserve"> diagnosis but with an infant with findings of congenital </w:t>
            </w:r>
            <w:proofErr w:type="spellStart"/>
            <w:r>
              <w:t>Zika</w:t>
            </w:r>
            <w:proofErr w:type="spellEnd"/>
            <w:r>
              <w:t xml:space="preserve"> syndrome, and for asymptomatic pregnant women who tested positive for </w:t>
            </w:r>
            <w:proofErr w:type="spellStart"/>
            <w:r>
              <w:t>Zika</w:t>
            </w:r>
            <w:proofErr w:type="spellEnd"/>
            <w:r>
              <w:t xml:space="preserve"> and had an infant with findings of congenital </w:t>
            </w:r>
            <w:proofErr w:type="spellStart"/>
            <w:r>
              <w:t>Zika</w:t>
            </w:r>
            <w:proofErr w:type="spellEnd"/>
            <w:r>
              <w:t xml:space="preserve"> syndrome.</w:t>
            </w:r>
          </w:p>
          <w:p w14:paraId="09ADF6B4" w14:textId="77777777" w:rsidR="00CF7385" w:rsidRDefault="00CF7385" w:rsidP="00CF7385">
            <w:r>
              <w:t xml:space="preserve">Section V (experimental): simplified indication to state testing of </w:t>
            </w:r>
            <w:proofErr w:type="spellStart"/>
            <w:r>
              <w:t>nonpregnant</w:t>
            </w:r>
            <w:proofErr w:type="spellEnd"/>
            <w:r>
              <w:t xml:space="preserve"> asymptomatic individuals, and pre-conception counseling.</w:t>
            </w:r>
          </w:p>
          <w:p w14:paraId="4ECD098E" w14:textId="71DE1701" w:rsidR="00CF7385" w:rsidRDefault="00CF7385" w:rsidP="00CF7385">
            <w:pPr>
              <w:tabs>
                <w:tab w:val="num" w:pos="720"/>
              </w:tabs>
            </w:pPr>
            <w:r>
              <w:t xml:space="preserve">Background: Updated with 2016 and 2017 prevalence statistics; clarified that NAT tests include, but are not limited to, </w:t>
            </w:r>
            <w:proofErr w:type="spellStart"/>
            <w:r>
              <w:t>rRT</w:t>
            </w:r>
            <w:proofErr w:type="spellEnd"/>
            <w:r>
              <w:t>-PCR tests.</w:t>
            </w:r>
          </w:p>
        </w:tc>
        <w:tc>
          <w:tcPr>
            <w:tcW w:w="810" w:type="dxa"/>
          </w:tcPr>
          <w:p w14:paraId="2AF47B1B" w14:textId="77777777" w:rsidR="00CF7385" w:rsidRDefault="00CF7385" w:rsidP="005776FD">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00239194" w14:textId="77777777" w:rsidR="00CF7385" w:rsidRDefault="00CF7385" w:rsidP="00857C10">
            <w:pPr>
              <w:jc w:val="center"/>
            </w:pPr>
          </w:p>
        </w:tc>
      </w:tr>
      <w:tr w:rsidR="00FD69F4" w14:paraId="4F1BE890" w14:textId="77777777" w:rsidTr="002D1A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E7D16F8" w14:textId="41B21AFA" w:rsidR="00FD69F4" w:rsidRDefault="00517A3A" w:rsidP="00517A3A">
            <w:pPr>
              <w:tabs>
                <w:tab w:val="num" w:pos="720"/>
              </w:tabs>
            </w:pPr>
            <w:r>
              <w:t>References</w:t>
            </w:r>
            <w:r w:rsidR="00FD69F4">
              <w:t xml:space="preserve"> reviewed and </w:t>
            </w:r>
            <w:r>
              <w:t>updated</w:t>
            </w:r>
            <w:r w:rsidR="00FD69F4">
              <w:t xml:space="preserve">.  Coding reviewed.  </w:t>
            </w:r>
          </w:p>
        </w:tc>
        <w:tc>
          <w:tcPr>
            <w:tcW w:w="810" w:type="dxa"/>
          </w:tcPr>
          <w:p w14:paraId="7FE70CDE" w14:textId="04A06B1E" w:rsidR="00FD69F4" w:rsidRDefault="003E70DE" w:rsidP="005776FD">
            <w:pPr>
              <w:jc w:val="center"/>
              <w:cnfStyle w:val="000000100000" w:firstRow="0" w:lastRow="0" w:firstColumn="0" w:lastColumn="0" w:oddVBand="0" w:evenVBand="0" w:oddHBand="1"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60" w:type="dxa"/>
          </w:tcPr>
          <w:p w14:paraId="5DE5AC9D" w14:textId="203D46B1" w:rsidR="00FD69F4" w:rsidRDefault="0037678A" w:rsidP="00857C10">
            <w:pPr>
              <w:jc w:val="center"/>
            </w:pPr>
            <w:r>
              <w:t>05/19</w:t>
            </w:r>
          </w:p>
        </w:tc>
      </w:tr>
    </w:tbl>
    <w:p w14:paraId="45FDDD58" w14:textId="77777777" w:rsidR="00B777AF" w:rsidRDefault="00B777AF" w:rsidP="00B777AF">
      <w:pPr>
        <w:pStyle w:val="Heading6"/>
        <w:tabs>
          <w:tab w:val="clear" w:pos="0"/>
        </w:tabs>
      </w:pPr>
    </w:p>
    <w:p w14:paraId="372160BF" w14:textId="77777777" w:rsidR="00963062" w:rsidRDefault="003F3D44" w:rsidP="00963062">
      <w:pPr>
        <w:pStyle w:val="Heading3"/>
      </w:pPr>
      <w:r>
        <w:t>References</w:t>
      </w:r>
    </w:p>
    <w:p w14:paraId="168948D2" w14:textId="10CC96A5" w:rsidR="00AC60B5" w:rsidRPr="00DA7DCA" w:rsidRDefault="00F04548" w:rsidP="00DA7DCA">
      <w:pPr>
        <w:pStyle w:val="ListParagraph"/>
        <w:numPr>
          <w:ilvl w:val="0"/>
          <w:numId w:val="21"/>
        </w:numPr>
        <w:ind w:left="360"/>
        <w:rPr>
          <w:color w:val="000000"/>
          <w:lang w:val="x-none"/>
        </w:rPr>
      </w:pPr>
      <w:r w:rsidRPr="00DA7DCA">
        <w:rPr>
          <w:color w:val="000000"/>
          <w:lang w:val="x-none"/>
        </w:rPr>
        <w:t xml:space="preserve">Petersen, L. R., Jamieson, D. J., Powers, A. M., &amp; </w:t>
      </w:r>
      <w:proofErr w:type="spellStart"/>
      <w:r w:rsidRPr="00DA7DCA">
        <w:rPr>
          <w:color w:val="000000"/>
          <w:lang w:val="x-none"/>
        </w:rPr>
        <w:t>Honein</w:t>
      </w:r>
      <w:proofErr w:type="spellEnd"/>
      <w:r w:rsidRPr="00DA7DCA">
        <w:rPr>
          <w:color w:val="000000"/>
          <w:lang w:val="x-none"/>
        </w:rPr>
        <w:t xml:space="preserve">, M. A. (2016). </w:t>
      </w:r>
      <w:proofErr w:type="spellStart"/>
      <w:r w:rsidRPr="00DA7DCA">
        <w:rPr>
          <w:color w:val="000000"/>
          <w:lang w:val="x-none"/>
        </w:rPr>
        <w:t>Zika</w:t>
      </w:r>
      <w:proofErr w:type="spellEnd"/>
      <w:r w:rsidRPr="00DA7DCA">
        <w:rPr>
          <w:color w:val="000000"/>
          <w:lang w:val="x-none"/>
        </w:rPr>
        <w:t xml:space="preserve"> virus. </w:t>
      </w:r>
      <w:r w:rsidR="00DA7DCA" w:rsidRPr="00DA7DCA">
        <w:rPr>
          <w:i/>
          <w:color w:val="000000"/>
          <w:lang w:val="x-none"/>
        </w:rPr>
        <w:t xml:space="preserve">N </w:t>
      </w:r>
      <w:proofErr w:type="spellStart"/>
      <w:r w:rsidR="00DA7DCA" w:rsidRPr="00DA7DCA">
        <w:rPr>
          <w:i/>
          <w:color w:val="000000"/>
          <w:lang w:val="x-none"/>
        </w:rPr>
        <w:t>Engl</w:t>
      </w:r>
      <w:proofErr w:type="spellEnd"/>
      <w:r w:rsidR="00DA7DCA" w:rsidRPr="00DA7DCA">
        <w:rPr>
          <w:i/>
          <w:color w:val="000000"/>
          <w:lang w:val="x-none"/>
        </w:rPr>
        <w:t xml:space="preserve"> J Med</w:t>
      </w:r>
      <w:r w:rsidRPr="00DA7DCA">
        <w:rPr>
          <w:color w:val="000000"/>
          <w:lang w:val="x-none"/>
        </w:rPr>
        <w:t>, 374(16), 1552-1563.</w:t>
      </w:r>
      <w:r w:rsidR="00A254AF">
        <w:rPr>
          <w:color w:val="000000"/>
        </w:rPr>
        <w:t xml:space="preserve">  Accessed April 30, 2019</w:t>
      </w:r>
    </w:p>
    <w:p w14:paraId="14C0BCA5" w14:textId="5F7B4A98" w:rsidR="001C142D" w:rsidRPr="00DA7DCA" w:rsidRDefault="001C142D" w:rsidP="00E6200F">
      <w:pPr>
        <w:pStyle w:val="ListParagraph"/>
        <w:numPr>
          <w:ilvl w:val="0"/>
          <w:numId w:val="21"/>
        </w:numPr>
        <w:ind w:left="360"/>
        <w:rPr>
          <w:color w:val="000000"/>
          <w:lang w:val="x-none"/>
        </w:rPr>
      </w:pPr>
      <w:r w:rsidRPr="00EE7709">
        <w:rPr>
          <w:color w:val="000000"/>
          <w:lang w:val="x-none"/>
        </w:rPr>
        <w:t xml:space="preserve">Petersen EE, </w:t>
      </w:r>
      <w:proofErr w:type="spellStart"/>
      <w:r w:rsidRPr="00EE7709">
        <w:rPr>
          <w:color w:val="000000"/>
          <w:lang w:val="x-none"/>
        </w:rPr>
        <w:t>Meaney-Delman</w:t>
      </w:r>
      <w:proofErr w:type="spellEnd"/>
      <w:r w:rsidRPr="00EE7709">
        <w:rPr>
          <w:color w:val="000000"/>
          <w:lang w:val="x-none"/>
        </w:rPr>
        <w:t xml:space="preserve"> D, </w:t>
      </w:r>
      <w:proofErr w:type="spellStart"/>
      <w:r w:rsidRPr="00EE7709">
        <w:rPr>
          <w:color w:val="000000"/>
          <w:lang w:val="x-none"/>
        </w:rPr>
        <w:t>Neblett-Fanfair</w:t>
      </w:r>
      <w:proofErr w:type="spellEnd"/>
      <w:r w:rsidRPr="00EE7709">
        <w:rPr>
          <w:color w:val="000000"/>
          <w:lang w:val="x-none"/>
        </w:rPr>
        <w:t xml:space="preserve"> R, et al. Update: Interim Guidance for Preconception Counseling and Prevention of Sexual Transmission of </w:t>
      </w:r>
      <w:proofErr w:type="spellStart"/>
      <w:r w:rsidRPr="00EE7709">
        <w:rPr>
          <w:color w:val="000000"/>
          <w:lang w:val="x-none"/>
        </w:rPr>
        <w:t>Zika</w:t>
      </w:r>
      <w:proofErr w:type="spellEnd"/>
      <w:r w:rsidRPr="00EE7709">
        <w:rPr>
          <w:color w:val="000000"/>
          <w:lang w:val="x-none"/>
        </w:rPr>
        <w:t xml:space="preserve"> Virus for Persons with Possible </w:t>
      </w:r>
      <w:proofErr w:type="spellStart"/>
      <w:r w:rsidRPr="00EE7709">
        <w:rPr>
          <w:color w:val="000000"/>
          <w:lang w:val="x-none"/>
        </w:rPr>
        <w:t>Zika</w:t>
      </w:r>
      <w:proofErr w:type="spellEnd"/>
      <w:r w:rsidRPr="00EE7709">
        <w:rPr>
          <w:color w:val="000000"/>
          <w:lang w:val="x-none"/>
        </w:rPr>
        <w:t xml:space="preserve"> Virus Exposure — United States, </w:t>
      </w:r>
      <w:r w:rsidR="00A3123D">
        <w:rPr>
          <w:color w:val="000000"/>
        </w:rPr>
        <w:t>October</w:t>
      </w:r>
      <w:r w:rsidR="00A3123D" w:rsidRPr="00EE7709">
        <w:rPr>
          <w:color w:val="000000"/>
          <w:lang w:val="x-none"/>
        </w:rPr>
        <w:t xml:space="preserve"> </w:t>
      </w:r>
      <w:r w:rsidRPr="00EE7709">
        <w:rPr>
          <w:color w:val="000000"/>
          <w:lang w:val="x-none"/>
        </w:rPr>
        <w:t xml:space="preserve">2016. MMWR </w:t>
      </w:r>
      <w:proofErr w:type="spellStart"/>
      <w:r w:rsidRPr="00EE7709">
        <w:rPr>
          <w:color w:val="000000"/>
          <w:lang w:val="x-none"/>
        </w:rPr>
        <w:t>Morb</w:t>
      </w:r>
      <w:proofErr w:type="spellEnd"/>
      <w:r w:rsidRPr="00EE7709">
        <w:rPr>
          <w:color w:val="000000"/>
          <w:lang w:val="x-none"/>
        </w:rPr>
        <w:t xml:space="preserve"> Mortal </w:t>
      </w:r>
      <w:proofErr w:type="spellStart"/>
      <w:r w:rsidRPr="00EE7709">
        <w:rPr>
          <w:color w:val="000000"/>
          <w:lang w:val="x-none"/>
        </w:rPr>
        <w:lastRenderedPageBreak/>
        <w:t>Wkly</w:t>
      </w:r>
      <w:proofErr w:type="spellEnd"/>
      <w:r w:rsidRPr="00EE7709">
        <w:rPr>
          <w:color w:val="000000"/>
          <w:lang w:val="x-none"/>
        </w:rPr>
        <w:t xml:space="preserve"> Rep 2016;65:1077-1081. DOI: </w:t>
      </w:r>
      <w:hyperlink r:id="rId15" w:history="1">
        <w:r w:rsidRPr="004D57DF">
          <w:rPr>
            <w:rStyle w:val="Hyperlink"/>
            <w:lang w:val="x-none"/>
          </w:rPr>
          <w:t>http://dx.doi.org/10.15585/mmwr.mm6539e1</w:t>
        </w:r>
      </w:hyperlink>
      <w:r w:rsidRPr="00DA7DCA" w:rsidDel="001C142D">
        <w:rPr>
          <w:color w:val="000000"/>
          <w:lang w:val="x-none"/>
        </w:rPr>
        <w:t xml:space="preserve"> </w:t>
      </w:r>
      <w:r w:rsidR="00A254AF">
        <w:rPr>
          <w:color w:val="000000"/>
        </w:rPr>
        <w:t xml:space="preserve"> Accessed April 30, 2019</w:t>
      </w:r>
    </w:p>
    <w:p w14:paraId="52043F3D" w14:textId="47F74D29" w:rsidR="00B401BF" w:rsidRPr="00DA7DCA" w:rsidRDefault="00042DB3" w:rsidP="00DA7DCA">
      <w:pPr>
        <w:pStyle w:val="ListParagraph"/>
        <w:numPr>
          <w:ilvl w:val="0"/>
          <w:numId w:val="21"/>
        </w:numPr>
        <w:ind w:left="360"/>
        <w:rPr>
          <w:color w:val="000000"/>
          <w:lang w:val="x-none"/>
        </w:rPr>
      </w:pPr>
      <w:r w:rsidRPr="00EE7709">
        <w:rPr>
          <w:color w:val="000000"/>
          <w:lang w:val="x-none"/>
        </w:rPr>
        <w:t>R</w:t>
      </w:r>
      <w:r w:rsidRPr="00DA7DCA">
        <w:rPr>
          <w:color w:val="000000"/>
          <w:lang w:val="x-none"/>
        </w:rPr>
        <w:t xml:space="preserve">asmussen, S. A., Jamieson, D. J., </w:t>
      </w:r>
      <w:proofErr w:type="spellStart"/>
      <w:r w:rsidRPr="00DA7DCA">
        <w:rPr>
          <w:color w:val="000000"/>
          <w:lang w:val="x-none"/>
        </w:rPr>
        <w:t>Honein</w:t>
      </w:r>
      <w:proofErr w:type="spellEnd"/>
      <w:r w:rsidRPr="00DA7DCA">
        <w:rPr>
          <w:color w:val="000000"/>
          <w:lang w:val="x-none"/>
        </w:rPr>
        <w:t xml:space="preserve">, M. A., &amp; Petersen, L. R. (2016). </w:t>
      </w:r>
      <w:proofErr w:type="spellStart"/>
      <w:r w:rsidRPr="00DA7DCA">
        <w:rPr>
          <w:color w:val="000000"/>
          <w:lang w:val="x-none"/>
        </w:rPr>
        <w:t>Zika</w:t>
      </w:r>
      <w:proofErr w:type="spellEnd"/>
      <w:r w:rsidRPr="00DA7DCA">
        <w:rPr>
          <w:color w:val="000000"/>
          <w:lang w:val="x-none"/>
        </w:rPr>
        <w:t xml:space="preserve"> virus and birth defects—reviewing the evidence for causality. </w:t>
      </w:r>
      <w:r w:rsidR="00DA7DCA" w:rsidRPr="00DA7DCA">
        <w:rPr>
          <w:i/>
          <w:color w:val="000000"/>
          <w:lang w:val="x-none"/>
        </w:rPr>
        <w:t xml:space="preserve">N </w:t>
      </w:r>
      <w:proofErr w:type="spellStart"/>
      <w:r w:rsidR="00DA7DCA" w:rsidRPr="00DA7DCA">
        <w:rPr>
          <w:i/>
          <w:color w:val="000000"/>
          <w:lang w:val="x-none"/>
        </w:rPr>
        <w:t>Engl</w:t>
      </w:r>
      <w:proofErr w:type="spellEnd"/>
      <w:r w:rsidR="00DA7DCA" w:rsidRPr="00DA7DCA">
        <w:rPr>
          <w:i/>
          <w:color w:val="000000"/>
          <w:lang w:val="x-none"/>
        </w:rPr>
        <w:t xml:space="preserve"> J Med</w:t>
      </w:r>
      <w:r w:rsidR="00DA7DCA">
        <w:rPr>
          <w:i/>
          <w:color w:val="000000"/>
        </w:rPr>
        <w:t>.</w:t>
      </w:r>
      <w:r w:rsidR="00A254AF">
        <w:rPr>
          <w:i/>
          <w:color w:val="000000"/>
        </w:rPr>
        <w:t xml:space="preserve">  </w:t>
      </w:r>
      <w:r w:rsidR="00A254AF" w:rsidRPr="008F726A">
        <w:rPr>
          <w:color w:val="000000"/>
        </w:rPr>
        <w:t>Accessed April 30, 2019</w:t>
      </w:r>
    </w:p>
    <w:p w14:paraId="6741F60D" w14:textId="2562F973" w:rsidR="00BB1933" w:rsidRDefault="00BB1933" w:rsidP="00E6200F">
      <w:pPr>
        <w:pStyle w:val="ListParagraph"/>
        <w:numPr>
          <w:ilvl w:val="0"/>
          <w:numId w:val="21"/>
        </w:numPr>
        <w:ind w:left="360"/>
        <w:rPr>
          <w:color w:val="000000"/>
          <w:lang w:val="x-none"/>
        </w:rPr>
      </w:pPr>
      <w:proofErr w:type="spellStart"/>
      <w:r w:rsidRPr="00BB1933">
        <w:rPr>
          <w:color w:val="000000"/>
          <w:lang w:val="x-none"/>
        </w:rPr>
        <w:t>Oduyebo</w:t>
      </w:r>
      <w:proofErr w:type="spellEnd"/>
      <w:r w:rsidRPr="00BB1933">
        <w:rPr>
          <w:color w:val="000000"/>
          <w:lang w:val="x-none"/>
        </w:rPr>
        <w:t xml:space="preserve"> T, </w:t>
      </w:r>
      <w:proofErr w:type="spellStart"/>
      <w:r w:rsidRPr="00BB1933">
        <w:rPr>
          <w:color w:val="000000"/>
          <w:lang w:val="x-none"/>
        </w:rPr>
        <w:t>Polen</w:t>
      </w:r>
      <w:proofErr w:type="spellEnd"/>
      <w:r w:rsidRPr="00BB1933">
        <w:rPr>
          <w:color w:val="000000"/>
          <w:lang w:val="x-none"/>
        </w:rPr>
        <w:t xml:space="preserve"> KD, </w:t>
      </w:r>
      <w:proofErr w:type="spellStart"/>
      <w:r w:rsidRPr="00BB1933">
        <w:rPr>
          <w:color w:val="000000"/>
          <w:lang w:val="x-none"/>
        </w:rPr>
        <w:t>Walke</w:t>
      </w:r>
      <w:proofErr w:type="spellEnd"/>
      <w:r w:rsidRPr="00BB1933">
        <w:rPr>
          <w:color w:val="000000"/>
          <w:lang w:val="x-none"/>
        </w:rPr>
        <w:t xml:space="preserve"> HT, et al. Update: Interim Guidance for Health Care Providers Caring for Pregnant Women with Possible </w:t>
      </w:r>
      <w:proofErr w:type="spellStart"/>
      <w:r w:rsidRPr="00BB1933">
        <w:rPr>
          <w:color w:val="000000"/>
          <w:lang w:val="x-none"/>
        </w:rPr>
        <w:t>Zika</w:t>
      </w:r>
      <w:proofErr w:type="spellEnd"/>
      <w:r w:rsidRPr="00BB1933">
        <w:rPr>
          <w:color w:val="000000"/>
          <w:lang w:val="x-none"/>
        </w:rPr>
        <w:t xml:space="preserve"> Virus Exposure — United States (Including U.S. Territories), July 2017. MMWR </w:t>
      </w:r>
      <w:proofErr w:type="spellStart"/>
      <w:r w:rsidRPr="00BB1933">
        <w:rPr>
          <w:color w:val="000000"/>
          <w:lang w:val="x-none"/>
        </w:rPr>
        <w:t>Morb</w:t>
      </w:r>
      <w:proofErr w:type="spellEnd"/>
      <w:r w:rsidRPr="00BB1933">
        <w:rPr>
          <w:color w:val="000000"/>
          <w:lang w:val="x-none"/>
        </w:rPr>
        <w:t xml:space="preserve"> Mortal </w:t>
      </w:r>
      <w:proofErr w:type="spellStart"/>
      <w:r w:rsidRPr="00BB1933">
        <w:rPr>
          <w:color w:val="000000"/>
          <w:lang w:val="x-none"/>
        </w:rPr>
        <w:t>Wkly</w:t>
      </w:r>
      <w:proofErr w:type="spellEnd"/>
      <w:r w:rsidRPr="00BB1933">
        <w:rPr>
          <w:color w:val="000000"/>
          <w:lang w:val="x-none"/>
        </w:rPr>
        <w:t xml:space="preserve"> Rep 2017;66:781-793. </w:t>
      </w:r>
      <w:r w:rsidR="00A254AF">
        <w:rPr>
          <w:color w:val="000000"/>
        </w:rPr>
        <w:t xml:space="preserve">  Accessed April 30, 2019</w:t>
      </w:r>
    </w:p>
    <w:p w14:paraId="401D7D15" w14:textId="4AE3834F" w:rsidR="00AC60B5" w:rsidRPr="00DA7DCA" w:rsidRDefault="00AC60B5" w:rsidP="00E6200F">
      <w:pPr>
        <w:pStyle w:val="ListParagraph"/>
        <w:numPr>
          <w:ilvl w:val="0"/>
          <w:numId w:val="21"/>
        </w:numPr>
        <w:ind w:left="360"/>
        <w:rPr>
          <w:color w:val="000000"/>
          <w:lang w:val="x-none"/>
        </w:rPr>
      </w:pPr>
      <w:r w:rsidRPr="004F03EC">
        <w:rPr>
          <w:color w:val="000000"/>
          <w:lang w:val="x-none"/>
        </w:rPr>
        <w:t xml:space="preserve">CDC. Memorandum: revised diagnostic testing for </w:t>
      </w:r>
      <w:proofErr w:type="spellStart"/>
      <w:r w:rsidRPr="004F03EC">
        <w:rPr>
          <w:color w:val="000000"/>
          <w:lang w:val="x-none"/>
        </w:rPr>
        <w:t>Zika</w:t>
      </w:r>
      <w:proofErr w:type="spellEnd"/>
      <w:r w:rsidRPr="004F03EC">
        <w:rPr>
          <w:color w:val="000000"/>
          <w:lang w:val="x-none"/>
        </w:rPr>
        <w:t>, chikungunya, and dengue viruses in US public</w:t>
      </w:r>
      <w:r w:rsidRPr="00DA7DCA">
        <w:rPr>
          <w:color w:val="000000"/>
          <w:lang w:val="x-none"/>
        </w:rPr>
        <w:t xml:space="preserve"> </w:t>
      </w:r>
      <w:r w:rsidRPr="004F03EC">
        <w:rPr>
          <w:color w:val="000000"/>
          <w:lang w:val="x-none"/>
        </w:rPr>
        <w:t xml:space="preserve">health laboratories. Atlanta, GA: US Department of Health and Human Services, </w:t>
      </w:r>
      <w:r w:rsidRPr="007E08CC">
        <w:rPr>
          <w:color w:val="000000"/>
          <w:lang w:val="x-none"/>
        </w:rPr>
        <w:t>CDC; 2016.</w:t>
      </w:r>
      <w:r w:rsidRPr="00DA7DCA">
        <w:rPr>
          <w:color w:val="000000"/>
          <w:lang w:val="x-none"/>
        </w:rPr>
        <w:t xml:space="preserve"> </w:t>
      </w:r>
      <w:hyperlink r:id="rId16" w:history="1">
        <w:r w:rsidR="005F22A7" w:rsidRPr="005F22A7">
          <w:rPr>
            <w:rStyle w:val="Hyperlink"/>
            <w:lang w:val="x-none"/>
          </w:rPr>
          <w:t xml:space="preserve"> </w:t>
        </w:r>
      </w:hyperlink>
      <w:r w:rsidR="00A254AF">
        <w:t xml:space="preserve">  Accessed April 30, 2019</w:t>
      </w:r>
    </w:p>
    <w:p w14:paraId="46547701" w14:textId="73E064DA" w:rsidR="00CF5248" w:rsidRDefault="004B17B2" w:rsidP="00B07C74">
      <w:pPr>
        <w:pStyle w:val="ListParagraph"/>
        <w:numPr>
          <w:ilvl w:val="0"/>
          <w:numId w:val="21"/>
        </w:numPr>
        <w:ind w:left="360"/>
        <w:rPr>
          <w:color w:val="000000"/>
          <w:lang w:val="x-none"/>
        </w:rPr>
      </w:pPr>
      <w:r w:rsidRPr="00DA7DCA">
        <w:rPr>
          <w:color w:val="000000"/>
          <w:lang w:val="x-none"/>
        </w:rPr>
        <w:t xml:space="preserve">CDC.  Diagnostic </w:t>
      </w:r>
      <w:r w:rsidR="00B07C74" w:rsidRPr="00DA7DCA">
        <w:rPr>
          <w:color w:val="000000"/>
          <w:lang w:val="x-none"/>
        </w:rPr>
        <w:t>Test</w:t>
      </w:r>
      <w:r w:rsidR="00B07C74">
        <w:rPr>
          <w:color w:val="000000"/>
        </w:rPr>
        <w:t xml:space="preserve">s for </w:t>
      </w:r>
      <w:proofErr w:type="spellStart"/>
      <w:r w:rsidR="00B07C74">
        <w:rPr>
          <w:color w:val="000000"/>
        </w:rPr>
        <w:t>Zika</w:t>
      </w:r>
      <w:proofErr w:type="spellEnd"/>
      <w:r w:rsidR="00B07C74">
        <w:rPr>
          <w:color w:val="000000"/>
        </w:rPr>
        <w:t xml:space="preserve"> Virus</w:t>
      </w:r>
      <w:r w:rsidRPr="00DA7DCA">
        <w:rPr>
          <w:color w:val="000000"/>
          <w:lang w:val="x-none"/>
        </w:rPr>
        <w:t xml:space="preserve">. Updated </w:t>
      </w:r>
      <w:r w:rsidR="00B07C74">
        <w:rPr>
          <w:color w:val="000000"/>
        </w:rPr>
        <w:t>December 12,</w:t>
      </w:r>
      <w:r w:rsidRPr="00DA7DCA">
        <w:rPr>
          <w:color w:val="000000"/>
          <w:lang w:val="x-none"/>
        </w:rPr>
        <w:t xml:space="preserve"> 201</w:t>
      </w:r>
      <w:r w:rsidR="000336F4" w:rsidRPr="00DA7DCA">
        <w:rPr>
          <w:color w:val="000000"/>
          <w:lang w:val="x-none"/>
        </w:rPr>
        <w:t>7</w:t>
      </w:r>
      <w:r w:rsidRPr="00DA7DCA">
        <w:rPr>
          <w:color w:val="000000"/>
          <w:lang w:val="x-none"/>
        </w:rPr>
        <w:t xml:space="preserve">. </w:t>
      </w:r>
      <w:r w:rsidR="00CE53BE">
        <w:fldChar w:fldCharType="begin"/>
      </w:r>
      <w:r w:rsidR="00CE53BE">
        <w:instrText xml:space="preserve"> HYPERLINK "https://www.cdc.gov/zika/hc-providers/types-of-tests.html" </w:instrText>
      </w:r>
      <w:r w:rsidR="00CE53BE">
        <w:fldChar w:fldCharType="separate"/>
      </w:r>
      <w:r w:rsidR="00B07C74" w:rsidRPr="004D57DF">
        <w:rPr>
          <w:rStyle w:val="Hyperlink"/>
          <w:lang w:val="x-none"/>
        </w:rPr>
        <w:t>https://www.cdc.gov/zika/hc-providers/types-of-tests.html</w:t>
      </w:r>
      <w:r w:rsidR="00CE53BE">
        <w:rPr>
          <w:rStyle w:val="Hyperlink"/>
          <w:lang w:val="x-none"/>
        </w:rPr>
        <w:fldChar w:fldCharType="end"/>
      </w:r>
      <w:r w:rsidR="00A254AF">
        <w:rPr>
          <w:rStyle w:val="Hyperlink"/>
        </w:rPr>
        <w:t xml:space="preserve">  Accessed April 30, 2019</w:t>
      </w:r>
    </w:p>
    <w:p w14:paraId="20502ADB" w14:textId="5448924B" w:rsidR="0018553B" w:rsidRPr="00DA7DCA" w:rsidRDefault="0018553B" w:rsidP="0018553B">
      <w:pPr>
        <w:pStyle w:val="ListParagraph"/>
        <w:numPr>
          <w:ilvl w:val="0"/>
          <w:numId w:val="21"/>
        </w:numPr>
        <w:ind w:left="360"/>
        <w:rPr>
          <w:color w:val="000000"/>
          <w:lang w:val="x-none"/>
        </w:rPr>
      </w:pPr>
      <w:r>
        <w:rPr>
          <w:color w:val="000000"/>
        </w:rPr>
        <w:t xml:space="preserve">CDC. Testing Guidance. Updated </w:t>
      </w:r>
      <w:r w:rsidR="000963F5">
        <w:rPr>
          <w:color w:val="000000"/>
        </w:rPr>
        <w:t>February 28, 2018</w:t>
      </w:r>
      <w:r>
        <w:rPr>
          <w:color w:val="000000"/>
        </w:rPr>
        <w:t xml:space="preserve">. </w:t>
      </w:r>
      <w:r w:rsidR="00A254AF">
        <w:rPr>
          <w:color w:val="000000"/>
        </w:rPr>
        <w:t>Accessed April 30, 2019</w:t>
      </w:r>
      <w:r>
        <w:rPr>
          <w:color w:val="000000"/>
        </w:rPr>
        <w:t xml:space="preserve">. </w:t>
      </w:r>
      <w:hyperlink r:id="rId17" w:history="1">
        <w:r w:rsidRPr="004D57DF">
          <w:rPr>
            <w:rStyle w:val="Hyperlink"/>
          </w:rPr>
          <w:t>https://www.cdc.gov/zika/hc-providers/testing-guidance.html</w:t>
        </w:r>
      </w:hyperlink>
    </w:p>
    <w:p w14:paraId="46405929" w14:textId="57521D3F" w:rsidR="005F7B0C" w:rsidRDefault="005F7B0C" w:rsidP="00E6200F">
      <w:pPr>
        <w:pStyle w:val="ListParagraph"/>
        <w:numPr>
          <w:ilvl w:val="0"/>
          <w:numId w:val="21"/>
        </w:numPr>
        <w:ind w:left="360"/>
        <w:rPr>
          <w:color w:val="000000"/>
          <w:lang w:val="x-none"/>
        </w:rPr>
      </w:pPr>
      <w:proofErr w:type="spellStart"/>
      <w:r w:rsidRPr="005F7B0C">
        <w:rPr>
          <w:color w:val="000000"/>
          <w:lang w:val="x-none"/>
        </w:rPr>
        <w:t>Adebanjo</w:t>
      </w:r>
      <w:proofErr w:type="spellEnd"/>
      <w:r w:rsidRPr="005F7B0C">
        <w:rPr>
          <w:color w:val="000000"/>
          <w:lang w:val="x-none"/>
        </w:rPr>
        <w:t xml:space="preserve"> T, </w:t>
      </w:r>
      <w:proofErr w:type="spellStart"/>
      <w:r w:rsidRPr="005F7B0C">
        <w:rPr>
          <w:color w:val="000000"/>
          <w:lang w:val="x-none"/>
        </w:rPr>
        <w:t>Godfred</w:t>
      </w:r>
      <w:proofErr w:type="spellEnd"/>
      <w:r w:rsidRPr="005F7B0C">
        <w:rPr>
          <w:color w:val="000000"/>
          <w:lang w:val="x-none"/>
        </w:rPr>
        <w:t xml:space="preserve">-Cato S, </w:t>
      </w:r>
      <w:proofErr w:type="spellStart"/>
      <w:r w:rsidRPr="005F7B0C">
        <w:rPr>
          <w:color w:val="000000"/>
          <w:lang w:val="x-none"/>
        </w:rPr>
        <w:t>Viens</w:t>
      </w:r>
      <w:proofErr w:type="spellEnd"/>
      <w:r w:rsidRPr="005F7B0C">
        <w:rPr>
          <w:color w:val="000000"/>
          <w:lang w:val="x-none"/>
        </w:rPr>
        <w:t xml:space="preserve"> L, et al. Update: Interim Guidance for the Diagnosis, Evaluation, and Management of Infants with Possible Congenital </w:t>
      </w:r>
      <w:proofErr w:type="spellStart"/>
      <w:r w:rsidRPr="005F7B0C">
        <w:rPr>
          <w:color w:val="000000"/>
          <w:lang w:val="x-none"/>
        </w:rPr>
        <w:t>Zika</w:t>
      </w:r>
      <w:proofErr w:type="spellEnd"/>
      <w:r w:rsidRPr="005F7B0C">
        <w:rPr>
          <w:color w:val="000000"/>
          <w:lang w:val="x-none"/>
        </w:rPr>
        <w:t xml:space="preserve"> Virus Infection — United States, October 2017. MMWR </w:t>
      </w:r>
      <w:proofErr w:type="spellStart"/>
      <w:r w:rsidRPr="005F7B0C">
        <w:rPr>
          <w:color w:val="000000"/>
          <w:lang w:val="x-none"/>
        </w:rPr>
        <w:t>Morb</w:t>
      </w:r>
      <w:proofErr w:type="spellEnd"/>
      <w:r w:rsidRPr="005F7B0C">
        <w:rPr>
          <w:color w:val="000000"/>
          <w:lang w:val="x-none"/>
        </w:rPr>
        <w:t xml:space="preserve"> Mortal </w:t>
      </w:r>
      <w:proofErr w:type="spellStart"/>
      <w:r w:rsidRPr="005F7B0C">
        <w:rPr>
          <w:color w:val="000000"/>
          <w:lang w:val="x-none"/>
        </w:rPr>
        <w:t>Wkly</w:t>
      </w:r>
      <w:proofErr w:type="spellEnd"/>
      <w:r w:rsidRPr="005F7B0C">
        <w:rPr>
          <w:color w:val="000000"/>
          <w:lang w:val="x-none"/>
        </w:rPr>
        <w:t xml:space="preserve"> Rep 2017;66:1089–1099. DOI: </w:t>
      </w:r>
      <w:hyperlink r:id="rId18" w:history="1">
        <w:r w:rsidRPr="009655F5">
          <w:rPr>
            <w:rStyle w:val="Hyperlink"/>
            <w:lang w:val="x-none"/>
          </w:rPr>
          <w:t>http://dx.doi.org/10.15585/mmwr.mm6641a1</w:t>
        </w:r>
      </w:hyperlink>
      <w:r w:rsidRPr="005F7B0C">
        <w:rPr>
          <w:color w:val="000000"/>
          <w:lang w:val="x-none"/>
        </w:rPr>
        <w:t>.</w:t>
      </w:r>
      <w:r w:rsidR="00A254AF">
        <w:rPr>
          <w:color w:val="000000"/>
        </w:rPr>
        <w:t xml:space="preserve">  Accessed April 30, 2019.</w:t>
      </w:r>
    </w:p>
    <w:p w14:paraId="631460AC" w14:textId="7EBF97C3" w:rsidR="00A3123D" w:rsidRPr="00DA7DCA" w:rsidRDefault="00FF6A0B" w:rsidP="00552A70">
      <w:pPr>
        <w:pStyle w:val="ListParagraph"/>
        <w:numPr>
          <w:ilvl w:val="0"/>
          <w:numId w:val="21"/>
        </w:numPr>
        <w:ind w:left="360"/>
        <w:rPr>
          <w:color w:val="000000"/>
          <w:lang w:val="x-none"/>
        </w:rPr>
      </w:pPr>
      <w:r w:rsidRPr="00DA7DCA">
        <w:rPr>
          <w:color w:val="000000"/>
          <w:lang w:val="x-none"/>
        </w:rPr>
        <w:t xml:space="preserve">American College of Obstetricians and Gynecologists. Practice advisory: interim guidance for care of obstetric patients during a </w:t>
      </w:r>
      <w:r w:rsidR="008752B5">
        <w:rPr>
          <w:color w:val="000000"/>
        </w:rPr>
        <w:t>Z</w:t>
      </w:r>
      <w:proofErr w:type="spellStart"/>
      <w:r w:rsidRPr="00DA7DCA">
        <w:rPr>
          <w:color w:val="000000"/>
          <w:lang w:val="x-none"/>
        </w:rPr>
        <w:t>ika</w:t>
      </w:r>
      <w:proofErr w:type="spellEnd"/>
      <w:r w:rsidRPr="00DA7DCA">
        <w:rPr>
          <w:color w:val="000000"/>
          <w:lang w:val="x-none"/>
        </w:rPr>
        <w:t xml:space="preserve"> virus outbreak. ACOG, 2016.</w:t>
      </w:r>
      <w:r w:rsidR="00BD35DA" w:rsidRPr="00DA7DCA">
        <w:rPr>
          <w:color w:val="000000"/>
          <w:lang w:val="x-none"/>
        </w:rPr>
        <w:t xml:space="preserve"> Updated </w:t>
      </w:r>
      <w:r w:rsidR="00A254AF">
        <w:rPr>
          <w:color w:val="000000"/>
        </w:rPr>
        <w:t>April 2019</w:t>
      </w:r>
      <w:r w:rsidR="00BD35DA" w:rsidRPr="00DA7DCA">
        <w:rPr>
          <w:color w:val="000000"/>
          <w:lang w:val="x-none"/>
        </w:rPr>
        <w:t>.</w:t>
      </w:r>
    </w:p>
    <w:p w14:paraId="622DCD47" w14:textId="20F88BF6" w:rsidR="00D04584" w:rsidRPr="002D1A6E" w:rsidRDefault="00D04584" w:rsidP="00A3123D">
      <w:pPr>
        <w:pStyle w:val="ListParagraph"/>
        <w:numPr>
          <w:ilvl w:val="0"/>
          <w:numId w:val="21"/>
        </w:numPr>
        <w:ind w:left="360"/>
        <w:rPr>
          <w:color w:val="000000"/>
          <w:lang w:val="x-none"/>
        </w:rPr>
      </w:pPr>
      <w:proofErr w:type="spellStart"/>
      <w:r w:rsidRPr="002D1A6E">
        <w:rPr>
          <w:color w:val="000000"/>
          <w:lang w:val="x-none"/>
        </w:rPr>
        <w:t>Rabe</w:t>
      </w:r>
      <w:proofErr w:type="spellEnd"/>
      <w:r w:rsidRPr="002D1A6E">
        <w:rPr>
          <w:color w:val="000000"/>
          <w:lang w:val="x-none"/>
        </w:rPr>
        <w:t xml:space="preserve"> IB, Staples JE, Villanueva J, et al. Interim Guidance for Interpretation of </w:t>
      </w:r>
      <w:proofErr w:type="spellStart"/>
      <w:r w:rsidRPr="002D1A6E">
        <w:rPr>
          <w:color w:val="000000"/>
          <w:lang w:val="x-none"/>
        </w:rPr>
        <w:t>Zika</w:t>
      </w:r>
      <w:proofErr w:type="spellEnd"/>
      <w:r w:rsidRPr="002D1A6E">
        <w:rPr>
          <w:color w:val="000000"/>
          <w:lang w:val="x-none"/>
        </w:rPr>
        <w:t xml:space="preserve"> Virus Antibody Test Results. MMWR </w:t>
      </w:r>
      <w:proofErr w:type="spellStart"/>
      <w:r w:rsidRPr="002D1A6E">
        <w:rPr>
          <w:color w:val="000000"/>
          <w:lang w:val="x-none"/>
        </w:rPr>
        <w:t>Morb</w:t>
      </w:r>
      <w:proofErr w:type="spellEnd"/>
      <w:r w:rsidRPr="002D1A6E">
        <w:rPr>
          <w:color w:val="000000"/>
          <w:lang w:val="x-none"/>
        </w:rPr>
        <w:t xml:space="preserve"> Mortal </w:t>
      </w:r>
      <w:proofErr w:type="spellStart"/>
      <w:r w:rsidRPr="002D1A6E">
        <w:rPr>
          <w:color w:val="000000"/>
          <w:lang w:val="x-none"/>
        </w:rPr>
        <w:t>Wkly</w:t>
      </w:r>
      <w:proofErr w:type="spellEnd"/>
      <w:r w:rsidRPr="002D1A6E">
        <w:rPr>
          <w:color w:val="000000"/>
          <w:lang w:val="x-none"/>
        </w:rPr>
        <w:t xml:space="preserve"> Rep 2016;65. DOI: </w:t>
      </w:r>
      <w:hyperlink r:id="rId19" w:history="1">
        <w:r w:rsidRPr="004D57DF">
          <w:rPr>
            <w:rStyle w:val="Hyperlink"/>
            <w:lang w:val="x-none"/>
          </w:rPr>
          <w:t>http://dx.doi.org/10.15585/mmwr.mm6521e1</w:t>
        </w:r>
      </w:hyperlink>
      <w:r w:rsidRPr="002D1A6E">
        <w:rPr>
          <w:color w:val="000000"/>
          <w:lang w:val="x-none"/>
        </w:rPr>
        <w:t>.</w:t>
      </w:r>
      <w:r w:rsidR="00FC594B">
        <w:rPr>
          <w:color w:val="000000"/>
        </w:rPr>
        <w:t xml:space="preserve">  Accessed April 30, 2019</w:t>
      </w:r>
    </w:p>
    <w:p w14:paraId="3D1DC61C" w14:textId="2747FC83" w:rsidR="00AA1FA9" w:rsidRPr="00DA7DCA" w:rsidRDefault="00AA1FA9" w:rsidP="00064204">
      <w:pPr>
        <w:pStyle w:val="ListParagraph"/>
        <w:numPr>
          <w:ilvl w:val="0"/>
          <w:numId w:val="21"/>
        </w:numPr>
        <w:ind w:left="360"/>
        <w:rPr>
          <w:color w:val="000000"/>
          <w:lang w:val="x-none"/>
        </w:rPr>
      </w:pPr>
      <w:r w:rsidRPr="00DA7DCA">
        <w:rPr>
          <w:color w:val="000000"/>
          <w:lang w:val="x-none"/>
        </w:rPr>
        <w:t>Pacheco O, Beltran M, Nelson C</w:t>
      </w:r>
      <w:r w:rsidR="00064204" w:rsidRPr="00DA7DCA">
        <w:rPr>
          <w:color w:val="000000"/>
          <w:lang w:val="x-none"/>
        </w:rPr>
        <w:t>A</w:t>
      </w:r>
      <w:r w:rsidRPr="00DA7DCA">
        <w:rPr>
          <w:color w:val="000000"/>
          <w:lang w:val="x-none"/>
        </w:rPr>
        <w:t xml:space="preserve">, et al. </w:t>
      </w:r>
      <w:proofErr w:type="spellStart"/>
      <w:r w:rsidRPr="00DA7DCA">
        <w:rPr>
          <w:color w:val="000000"/>
          <w:lang w:val="x-none"/>
        </w:rPr>
        <w:t>Zika</w:t>
      </w:r>
      <w:proofErr w:type="spellEnd"/>
      <w:r w:rsidRPr="00DA7DCA">
        <w:rPr>
          <w:color w:val="000000"/>
          <w:lang w:val="x-none"/>
        </w:rPr>
        <w:t xml:space="preserve"> Virus Disease in Colombia- Preliminary Report. </w:t>
      </w:r>
      <w:r w:rsidR="00CE53BE">
        <w:fldChar w:fldCharType="begin"/>
      </w:r>
      <w:r w:rsidR="00CE53BE">
        <w:instrText xml:space="preserve"> HYPERLINK "http://www.ncbi.nlm.nih.gov/pubmed/?term=27305043" \o "The New England journal </w:instrText>
      </w:r>
      <w:r w:rsidR="00CE53BE">
        <w:instrText xml:space="preserve">of medicine." </w:instrText>
      </w:r>
      <w:r w:rsidR="00CE53BE">
        <w:fldChar w:fldCharType="separate"/>
      </w:r>
      <w:r w:rsidRPr="00DA7DCA">
        <w:rPr>
          <w:i/>
          <w:color w:val="000000"/>
          <w:lang w:val="x-none"/>
        </w:rPr>
        <w:t xml:space="preserve">N </w:t>
      </w:r>
      <w:proofErr w:type="spellStart"/>
      <w:r w:rsidRPr="00DA7DCA">
        <w:rPr>
          <w:i/>
          <w:color w:val="000000"/>
          <w:lang w:val="x-none"/>
        </w:rPr>
        <w:t>Engl</w:t>
      </w:r>
      <w:proofErr w:type="spellEnd"/>
      <w:r w:rsidRPr="00DA7DCA">
        <w:rPr>
          <w:i/>
          <w:color w:val="000000"/>
          <w:lang w:val="x-none"/>
        </w:rPr>
        <w:t xml:space="preserve"> J Med</w:t>
      </w:r>
      <w:r w:rsidRPr="00DA7DCA">
        <w:rPr>
          <w:color w:val="000000"/>
          <w:lang w:val="x-none"/>
        </w:rPr>
        <w:t>.</w:t>
      </w:r>
      <w:r w:rsidR="00CE53BE">
        <w:rPr>
          <w:color w:val="000000"/>
          <w:lang w:val="x-none"/>
        </w:rPr>
        <w:fldChar w:fldCharType="end"/>
      </w:r>
      <w:r w:rsidRPr="00DA7DCA">
        <w:rPr>
          <w:color w:val="000000"/>
          <w:lang w:val="x-none"/>
        </w:rPr>
        <w:t xml:space="preserve"> 2016 Jun 15.</w:t>
      </w:r>
      <w:r w:rsidR="00064204" w:rsidRPr="00DA7DCA">
        <w:rPr>
          <w:color w:val="000000"/>
          <w:lang w:val="x-none"/>
        </w:rPr>
        <w:t xml:space="preserve"> </w:t>
      </w:r>
      <w:r w:rsidR="00FC594B">
        <w:rPr>
          <w:color w:val="000000"/>
        </w:rPr>
        <w:t xml:space="preserve"> Accessed April 30, 2019</w:t>
      </w:r>
    </w:p>
    <w:p w14:paraId="24B61BC4" w14:textId="172E0775" w:rsidR="00FA0E16" w:rsidRPr="00DA7DCA" w:rsidRDefault="00FA0E16" w:rsidP="00064204">
      <w:pPr>
        <w:pStyle w:val="ListParagraph"/>
        <w:numPr>
          <w:ilvl w:val="0"/>
          <w:numId w:val="21"/>
        </w:numPr>
        <w:ind w:left="360"/>
        <w:rPr>
          <w:color w:val="000000"/>
          <w:lang w:val="x-none"/>
        </w:rPr>
      </w:pPr>
      <w:r w:rsidRPr="00DA7DCA">
        <w:rPr>
          <w:color w:val="000000"/>
          <w:lang w:val="x-none"/>
        </w:rPr>
        <w:t>CDC</w:t>
      </w:r>
      <w:r w:rsidR="006D6833" w:rsidRPr="00DA7DCA">
        <w:rPr>
          <w:color w:val="000000"/>
          <w:lang w:val="x-none"/>
        </w:rPr>
        <w:t xml:space="preserve">. Guidance for U.S. Laboratories Testing for </w:t>
      </w:r>
      <w:proofErr w:type="spellStart"/>
      <w:r w:rsidR="006D6833" w:rsidRPr="00DA7DCA">
        <w:rPr>
          <w:color w:val="000000"/>
          <w:lang w:val="x-none"/>
        </w:rPr>
        <w:t>Zika</w:t>
      </w:r>
      <w:proofErr w:type="spellEnd"/>
      <w:r w:rsidR="006D6833" w:rsidRPr="00DA7DCA">
        <w:rPr>
          <w:color w:val="000000"/>
          <w:lang w:val="x-none"/>
        </w:rPr>
        <w:t xml:space="preserve"> Virus Infection.</w:t>
      </w:r>
      <w:r w:rsidRPr="00DA7DCA">
        <w:rPr>
          <w:color w:val="000000"/>
          <w:lang w:val="x-none"/>
        </w:rPr>
        <w:t xml:space="preserve"> </w:t>
      </w:r>
      <w:r w:rsidR="00772CB9">
        <w:rPr>
          <w:color w:val="000000"/>
        </w:rPr>
        <w:t>July 24, 2017.</w:t>
      </w:r>
      <w:r w:rsidR="006D6833" w:rsidRPr="00DA7DCA">
        <w:rPr>
          <w:color w:val="000000"/>
          <w:lang w:val="x-none"/>
        </w:rPr>
        <w:t xml:space="preserve"> </w:t>
      </w:r>
      <w:r w:rsidR="00772CB9">
        <w:rPr>
          <w:color w:val="000000"/>
        </w:rPr>
        <w:t xml:space="preserve">Accessed </w:t>
      </w:r>
      <w:r w:rsidR="00FC594B">
        <w:rPr>
          <w:color w:val="000000"/>
        </w:rPr>
        <w:t>April 30, 2019</w:t>
      </w:r>
      <w:r w:rsidR="00772CB9">
        <w:rPr>
          <w:color w:val="000000"/>
        </w:rPr>
        <w:t>.</w:t>
      </w:r>
      <w:r w:rsidR="00C11FD2">
        <w:rPr>
          <w:color w:val="000000"/>
        </w:rPr>
        <w:t xml:space="preserve"> </w:t>
      </w:r>
      <w:hyperlink r:id="rId20" w:history="1">
        <w:r w:rsidR="00D52381" w:rsidRPr="004D57DF">
          <w:rPr>
            <w:rStyle w:val="Hyperlink"/>
            <w:lang w:val="x-none"/>
          </w:rPr>
          <w:t>https://www.cdc.gov/zika/laboratories/lab-guidance.html</w:t>
        </w:r>
      </w:hyperlink>
    </w:p>
    <w:p w14:paraId="2EA27E1D" w14:textId="50C7F87F" w:rsidR="00FA2755" w:rsidRPr="00DA7DCA" w:rsidRDefault="00FA2755" w:rsidP="00334E97">
      <w:pPr>
        <w:pStyle w:val="ListParagraph"/>
        <w:numPr>
          <w:ilvl w:val="0"/>
          <w:numId w:val="21"/>
        </w:numPr>
        <w:ind w:left="360"/>
        <w:rPr>
          <w:color w:val="000000"/>
          <w:lang w:val="x-none"/>
        </w:rPr>
      </w:pPr>
      <w:r w:rsidRPr="00DA7DCA">
        <w:rPr>
          <w:color w:val="000000"/>
          <w:lang w:val="x-none"/>
        </w:rPr>
        <w:t xml:space="preserve">CDC Health Alert Network. </w:t>
      </w:r>
      <w:r w:rsidRPr="008F726A">
        <w:rPr>
          <w:color w:val="000000"/>
          <w:lang w:val="x-none"/>
        </w:rPr>
        <w:t xml:space="preserve">Prolonged IgM Antibody Response in People Infected with </w:t>
      </w:r>
      <w:proofErr w:type="spellStart"/>
      <w:r w:rsidRPr="008F726A">
        <w:rPr>
          <w:color w:val="000000"/>
          <w:lang w:val="x-none"/>
        </w:rPr>
        <w:t>Zika</w:t>
      </w:r>
      <w:proofErr w:type="spellEnd"/>
      <w:r w:rsidRPr="009C6866">
        <w:rPr>
          <w:color w:val="000000"/>
          <w:lang w:val="x-none"/>
        </w:rPr>
        <w:t xml:space="preserve"> Virus: Implications for Interpreting Serologic Testing Results for Pregnant May 5, 2017.</w:t>
      </w:r>
      <w:r w:rsidRPr="00DA7DCA">
        <w:rPr>
          <w:color w:val="000000"/>
          <w:lang w:val="x-none"/>
        </w:rPr>
        <w:t xml:space="preserve"> </w:t>
      </w:r>
      <w:r w:rsidR="006C27DB">
        <w:rPr>
          <w:color w:val="000000"/>
        </w:rPr>
        <w:t>Accessed</w:t>
      </w:r>
      <w:r w:rsidR="00C1417B">
        <w:rPr>
          <w:color w:val="000000"/>
        </w:rPr>
        <w:t xml:space="preserve"> April 30, </w:t>
      </w:r>
      <w:r w:rsidR="000963F5">
        <w:rPr>
          <w:color w:val="000000"/>
        </w:rPr>
        <w:t xml:space="preserve">2019. </w:t>
      </w:r>
      <w:hyperlink r:id="rId21" w:history="1">
        <w:r w:rsidR="0080335C" w:rsidRPr="004D57DF">
          <w:rPr>
            <w:rStyle w:val="Hyperlink"/>
            <w:lang w:val="x-none"/>
          </w:rPr>
          <w:t>https://emergency.cdc.gov/han/han00402.asp</w:t>
        </w:r>
      </w:hyperlink>
    </w:p>
    <w:p w14:paraId="45B1C3E8" w14:textId="64FC595D" w:rsidR="00FF397D" w:rsidRDefault="0080335C" w:rsidP="00DA7DCA">
      <w:pPr>
        <w:pStyle w:val="ListParagraph"/>
        <w:numPr>
          <w:ilvl w:val="0"/>
          <w:numId w:val="21"/>
        </w:numPr>
        <w:ind w:left="360"/>
        <w:rPr>
          <w:color w:val="000000"/>
          <w:lang w:val="x-none"/>
        </w:rPr>
      </w:pPr>
      <w:r w:rsidRPr="00DA7DCA">
        <w:rPr>
          <w:color w:val="000000"/>
          <w:lang w:val="x-none"/>
        </w:rPr>
        <w:t xml:space="preserve">Davidson A, </w:t>
      </w:r>
      <w:proofErr w:type="spellStart"/>
      <w:r w:rsidRPr="00DA7DCA">
        <w:rPr>
          <w:color w:val="000000"/>
          <w:lang w:val="x-none"/>
        </w:rPr>
        <w:t>Slavinski</w:t>
      </w:r>
      <w:proofErr w:type="spellEnd"/>
      <w:r w:rsidRPr="00DA7DCA">
        <w:rPr>
          <w:color w:val="000000"/>
          <w:lang w:val="x-none"/>
        </w:rPr>
        <w:t xml:space="preserve"> S, </w:t>
      </w:r>
      <w:proofErr w:type="spellStart"/>
      <w:r w:rsidRPr="00DA7DCA">
        <w:rPr>
          <w:color w:val="000000"/>
          <w:lang w:val="x-none"/>
        </w:rPr>
        <w:t>Komoto</w:t>
      </w:r>
      <w:proofErr w:type="spellEnd"/>
      <w:r w:rsidRPr="00DA7DCA">
        <w:rPr>
          <w:color w:val="000000"/>
          <w:lang w:val="x-none"/>
        </w:rPr>
        <w:t xml:space="preserve"> K, </w:t>
      </w:r>
      <w:proofErr w:type="spellStart"/>
      <w:r w:rsidRPr="00DA7DCA">
        <w:rPr>
          <w:color w:val="000000"/>
          <w:lang w:val="x-none"/>
        </w:rPr>
        <w:t>Rakeman</w:t>
      </w:r>
      <w:proofErr w:type="spellEnd"/>
      <w:r w:rsidRPr="00DA7DCA">
        <w:rPr>
          <w:color w:val="000000"/>
          <w:lang w:val="x-none"/>
        </w:rPr>
        <w:t xml:space="preserve"> J, </w:t>
      </w:r>
      <w:r w:rsidRPr="00C1417B">
        <w:rPr>
          <w:color w:val="000000"/>
          <w:lang w:val="x-none"/>
        </w:rPr>
        <w:t xml:space="preserve">Weiss D. Suspected female-to-male sexual transmission of </w:t>
      </w:r>
      <w:proofErr w:type="spellStart"/>
      <w:r w:rsidRPr="00C1417B">
        <w:rPr>
          <w:color w:val="000000"/>
          <w:lang w:val="x-none"/>
        </w:rPr>
        <w:t>Zika</w:t>
      </w:r>
      <w:proofErr w:type="spellEnd"/>
      <w:r w:rsidRPr="00C1417B">
        <w:rPr>
          <w:color w:val="000000"/>
          <w:lang w:val="x-none"/>
        </w:rPr>
        <w:t xml:space="preserve"> virus—New York City, 2016</w:t>
      </w:r>
      <w:r w:rsidRPr="00DA7DCA">
        <w:rPr>
          <w:color w:val="000000"/>
          <w:lang w:val="x-none"/>
        </w:rPr>
        <w:t xml:space="preserve">. MMWR </w:t>
      </w:r>
      <w:proofErr w:type="spellStart"/>
      <w:r w:rsidRPr="00DA7DCA">
        <w:rPr>
          <w:color w:val="000000"/>
          <w:lang w:val="x-none"/>
        </w:rPr>
        <w:t>Morb</w:t>
      </w:r>
      <w:proofErr w:type="spellEnd"/>
      <w:r w:rsidRPr="00DA7DCA">
        <w:rPr>
          <w:color w:val="000000"/>
          <w:lang w:val="x-none"/>
        </w:rPr>
        <w:t xml:space="preserve"> Mortal </w:t>
      </w:r>
      <w:proofErr w:type="spellStart"/>
      <w:r w:rsidRPr="00DA7DCA">
        <w:rPr>
          <w:color w:val="000000"/>
          <w:lang w:val="x-none"/>
        </w:rPr>
        <w:t>Wkly</w:t>
      </w:r>
      <w:proofErr w:type="spellEnd"/>
      <w:r w:rsidRPr="00DA7DCA">
        <w:rPr>
          <w:color w:val="000000"/>
          <w:lang w:val="x-none"/>
        </w:rPr>
        <w:t xml:space="preserve"> Rep 2016;65:716–7.</w:t>
      </w:r>
      <w:r w:rsidR="00C1417B">
        <w:rPr>
          <w:color w:val="000000"/>
        </w:rPr>
        <w:t xml:space="preserve">  Accessed May 1, 2019</w:t>
      </w:r>
    </w:p>
    <w:p w14:paraId="0FC5B821" w14:textId="487B84B9" w:rsidR="001E0C33" w:rsidRDefault="001E0C33" w:rsidP="001E0C33">
      <w:pPr>
        <w:pStyle w:val="ListParagraph"/>
        <w:numPr>
          <w:ilvl w:val="0"/>
          <w:numId w:val="21"/>
        </w:numPr>
        <w:ind w:left="360"/>
        <w:rPr>
          <w:color w:val="000000"/>
          <w:lang w:val="x-none"/>
        </w:rPr>
      </w:pPr>
      <w:r w:rsidRPr="001E0C33">
        <w:rPr>
          <w:color w:val="000000"/>
          <w:lang w:val="x-none"/>
        </w:rPr>
        <w:t xml:space="preserve">Hall V, Walker WL, Lindsey NP, et al. Update: </w:t>
      </w:r>
      <w:proofErr w:type="spellStart"/>
      <w:r w:rsidRPr="001E0C33">
        <w:rPr>
          <w:color w:val="000000"/>
          <w:lang w:val="x-none"/>
        </w:rPr>
        <w:t>Noncongenital</w:t>
      </w:r>
      <w:proofErr w:type="spellEnd"/>
      <w:r w:rsidRPr="001E0C33">
        <w:rPr>
          <w:color w:val="000000"/>
          <w:lang w:val="x-none"/>
        </w:rPr>
        <w:t xml:space="preserve"> </w:t>
      </w:r>
      <w:proofErr w:type="spellStart"/>
      <w:r w:rsidRPr="001E0C33">
        <w:rPr>
          <w:color w:val="000000"/>
          <w:lang w:val="x-none"/>
        </w:rPr>
        <w:t>Zika</w:t>
      </w:r>
      <w:proofErr w:type="spellEnd"/>
      <w:r w:rsidRPr="001E0C33">
        <w:rPr>
          <w:color w:val="000000"/>
          <w:lang w:val="x-none"/>
        </w:rPr>
        <w:t xml:space="preserve"> Virus Disease Cases — 50 U.S. States and the District of Columbia, 2016. MMWR </w:t>
      </w:r>
      <w:proofErr w:type="spellStart"/>
      <w:r w:rsidRPr="001E0C33">
        <w:rPr>
          <w:color w:val="000000"/>
          <w:lang w:val="x-none"/>
        </w:rPr>
        <w:t>Morb</w:t>
      </w:r>
      <w:proofErr w:type="spellEnd"/>
      <w:r w:rsidRPr="001E0C33">
        <w:rPr>
          <w:color w:val="000000"/>
          <w:lang w:val="x-none"/>
        </w:rPr>
        <w:t xml:space="preserve"> Mortal </w:t>
      </w:r>
      <w:proofErr w:type="spellStart"/>
      <w:r w:rsidRPr="001E0C33">
        <w:rPr>
          <w:color w:val="000000"/>
          <w:lang w:val="x-none"/>
        </w:rPr>
        <w:t>Wkly</w:t>
      </w:r>
      <w:proofErr w:type="spellEnd"/>
      <w:r w:rsidRPr="001E0C33">
        <w:rPr>
          <w:color w:val="000000"/>
          <w:lang w:val="x-none"/>
        </w:rPr>
        <w:t xml:space="preserve"> Rep 2018;67:265–269. DOI: </w:t>
      </w:r>
      <w:hyperlink r:id="rId22" w:history="1">
        <w:r w:rsidRPr="00615FA6">
          <w:rPr>
            <w:rStyle w:val="Hyperlink"/>
            <w:lang w:val="x-none"/>
          </w:rPr>
          <w:t>http://dx.doi.org/10.15585/mmwr.mm6709a1</w:t>
        </w:r>
      </w:hyperlink>
      <w:r w:rsidRPr="001E0C33">
        <w:rPr>
          <w:color w:val="000000"/>
          <w:lang w:val="x-none"/>
        </w:rPr>
        <w:t>.</w:t>
      </w:r>
      <w:r w:rsidR="00F71455">
        <w:rPr>
          <w:color w:val="000000"/>
        </w:rPr>
        <w:t xml:space="preserve">  Accessed May 1, 2019.</w:t>
      </w:r>
    </w:p>
    <w:p w14:paraId="52245E96" w14:textId="0227B4F0" w:rsidR="00FD69F4" w:rsidRPr="008F726A" w:rsidRDefault="00FD69F4" w:rsidP="001E0C33">
      <w:pPr>
        <w:pStyle w:val="ListParagraph"/>
        <w:numPr>
          <w:ilvl w:val="0"/>
          <w:numId w:val="21"/>
        </w:numPr>
        <w:ind w:left="360"/>
        <w:rPr>
          <w:color w:val="000000"/>
          <w:lang w:val="x-none"/>
        </w:rPr>
      </w:pPr>
      <w:proofErr w:type="spellStart"/>
      <w:r>
        <w:t>Polen</w:t>
      </w:r>
      <w:proofErr w:type="spellEnd"/>
      <w:r>
        <w:t xml:space="preserve"> KD, </w:t>
      </w:r>
      <w:proofErr w:type="spellStart"/>
      <w:r>
        <w:t>Gilboa</w:t>
      </w:r>
      <w:proofErr w:type="spellEnd"/>
      <w:r>
        <w:t xml:space="preserve"> SM, Hills S, et al. Update: Interim Guidance for Preconception Counseling and Prevention of Sexual Transmission of </w:t>
      </w:r>
      <w:proofErr w:type="spellStart"/>
      <w:r>
        <w:t>Zika</w:t>
      </w:r>
      <w:proofErr w:type="spellEnd"/>
      <w:r>
        <w:t xml:space="preserve"> Virus for Men with Possible </w:t>
      </w:r>
      <w:proofErr w:type="spellStart"/>
      <w:r>
        <w:t>Zika</w:t>
      </w:r>
      <w:proofErr w:type="spellEnd"/>
      <w:r>
        <w:t xml:space="preserve"> Virus Exposure — United States, August 2018. MMWR </w:t>
      </w:r>
      <w:proofErr w:type="spellStart"/>
      <w:r>
        <w:t>Morb</w:t>
      </w:r>
      <w:proofErr w:type="spellEnd"/>
      <w:r>
        <w:t xml:space="preserve"> Mortal </w:t>
      </w:r>
      <w:proofErr w:type="spellStart"/>
      <w:r>
        <w:t>Wkly</w:t>
      </w:r>
      <w:proofErr w:type="spellEnd"/>
      <w:r>
        <w:t xml:space="preserve"> Rep 2018</w:t>
      </w:r>
      <w:proofErr w:type="gramStart"/>
      <w:r>
        <w:t>;67:868</w:t>
      </w:r>
      <w:proofErr w:type="gramEnd"/>
      <w:r>
        <w:t>-871.</w:t>
      </w:r>
    </w:p>
    <w:p w14:paraId="48551076" w14:textId="59EAB3C1" w:rsidR="00FC1284" w:rsidRPr="008F726A" w:rsidRDefault="00FC1284" w:rsidP="008F726A">
      <w:pPr>
        <w:pStyle w:val="ListParagraph"/>
        <w:numPr>
          <w:ilvl w:val="0"/>
          <w:numId w:val="21"/>
        </w:numPr>
        <w:ind w:left="360"/>
      </w:pPr>
      <w:r>
        <w:t xml:space="preserve">CDC </w:t>
      </w:r>
      <w:proofErr w:type="spellStart"/>
      <w:r>
        <w:t>Zika</w:t>
      </w:r>
      <w:proofErr w:type="spellEnd"/>
      <w:r>
        <w:t xml:space="preserve"> Virus.  Prevention and Transmission.  Accessed May 1, 2019.  </w:t>
      </w:r>
      <w:r w:rsidRPr="00FC1284">
        <w:t>https://www.cdc.gov/zika/prevention/index.html</w:t>
      </w:r>
    </w:p>
    <w:p w14:paraId="12291641" w14:textId="5031F8FC" w:rsidR="00AC60B5" w:rsidRDefault="00AC60B5" w:rsidP="004F03EC"/>
    <w:p w14:paraId="2829B071" w14:textId="0182F03F" w:rsidR="00F71455" w:rsidRDefault="00F71455" w:rsidP="004F03EC"/>
    <w:p w14:paraId="17475304" w14:textId="1D6C0AC8" w:rsidR="00720B71" w:rsidRDefault="00720B71" w:rsidP="004F03EC"/>
    <w:p w14:paraId="54E650D4" w14:textId="77777777" w:rsidR="00720B71" w:rsidRPr="004F03EC" w:rsidRDefault="00720B71" w:rsidP="004F03EC"/>
    <w:p w14:paraId="4D477FF3" w14:textId="77777777" w:rsidR="00DD6ADB" w:rsidRPr="00146C6E" w:rsidRDefault="00C06257" w:rsidP="00146C6E">
      <w:pPr>
        <w:rPr>
          <w:rFonts w:eastAsiaTheme="minorHAnsi"/>
          <w:b/>
          <w:u w:val="single"/>
        </w:rPr>
      </w:pPr>
      <w:bookmarkStart w:id="2" w:name="Important_Reminder"/>
      <w:r w:rsidRPr="00146C6E">
        <w:rPr>
          <w:rFonts w:eastAsiaTheme="minorHAnsi"/>
          <w:b/>
          <w:bCs/>
          <w:u w:val="single"/>
        </w:rPr>
        <w:lastRenderedPageBreak/>
        <w:t>Important R</w:t>
      </w:r>
      <w:r w:rsidR="005D7B81" w:rsidRPr="00146C6E">
        <w:rPr>
          <w:rFonts w:eastAsiaTheme="minorHAnsi"/>
          <w:b/>
          <w:bCs/>
          <w:u w:val="single"/>
        </w:rPr>
        <w:t>eminder</w:t>
      </w:r>
      <w:bookmarkEnd w:id="2"/>
    </w:p>
    <w:p w14:paraId="4B0459EE"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0FAD256" w14:textId="77777777" w:rsidR="00DD6ADB" w:rsidRPr="00146C6E" w:rsidRDefault="00DD6ADB" w:rsidP="00146C6E">
      <w:pPr>
        <w:rPr>
          <w:rFonts w:eastAsiaTheme="minorHAnsi"/>
        </w:rPr>
      </w:pPr>
    </w:p>
    <w:p w14:paraId="3163DCAC"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F158B80" w14:textId="77777777" w:rsidR="00DD6ADB" w:rsidRPr="00146C6E" w:rsidRDefault="00DD6ADB" w:rsidP="00146C6E">
      <w:pPr>
        <w:rPr>
          <w:rFonts w:eastAsiaTheme="minorHAnsi"/>
        </w:rPr>
      </w:pPr>
    </w:p>
    <w:p w14:paraId="58958ABF"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7BF8B06D" w14:textId="77777777" w:rsidR="00DD6ADB" w:rsidRPr="00146C6E" w:rsidRDefault="00DD6ADB" w:rsidP="00146C6E">
      <w:pPr>
        <w:rPr>
          <w:rFonts w:eastAsiaTheme="minorHAnsi"/>
        </w:rPr>
      </w:pPr>
    </w:p>
    <w:p w14:paraId="0E954D25"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0BD4E8C" w14:textId="77777777" w:rsidR="00DD6ADB" w:rsidRPr="00146C6E" w:rsidRDefault="00DD6ADB" w:rsidP="00146C6E">
      <w:pPr>
        <w:rPr>
          <w:rFonts w:eastAsiaTheme="minorHAnsi"/>
        </w:rPr>
      </w:pPr>
    </w:p>
    <w:p w14:paraId="497B1CFC"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1313DE5E" w14:textId="77777777" w:rsidR="00DD6ADB" w:rsidRPr="00146C6E" w:rsidRDefault="00DD6ADB" w:rsidP="00146C6E">
      <w:pPr>
        <w:rPr>
          <w:rFonts w:eastAsiaTheme="minorHAnsi"/>
        </w:rPr>
      </w:pPr>
    </w:p>
    <w:p w14:paraId="7C46886C"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38EC93FE" w14:textId="77777777" w:rsidR="00DD6ADB" w:rsidRPr="00146C6E" w:rsidRDefault="00DD6ADB" w:rsidP="00146C6E">
      <w:pPr>
        <w:autoSpaceDE w:val="0"/>
        <w:autoSpaceDN w:val="0"/>
        <w:adjustRightInd w:val="0"/>
        <w:rPr>
          <w:rFonts w:eastAsiaTheme="minorHAnsi"/>
          <w:color w:val="000000"/>
        </w:rPr>
      </w:pPr>
    </w:p>
    <w:p w14:paraId="66F63B62"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0F50FCB7" w14:textId="77777777" w:rsidR="00DD6ADB" w:rsidRPr="00146C6E" w:rsidRDefault="00DD6ADB" w:rsidP="00146C6E">
      <w:pPr>
        <w:rPr>
          <w:rFonts w:eastAsiaTheme="minorHAnsi"/>
        </w:rPr>
      </w:pPr>
    </w:p>
    <w:p w14:paraId="30FBB15A" w14:textId="28F20BC5"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9550DC">
        <w:rPr>
          <w:rFonts w:eastAsiaTheme="minorHAnsi"/>
          <w:color w:val="000000"/>
        </w:rPr>
        <w:t>,</w:t>
      </w:r>
      <w:r w:rsidRPr="00146C6E">
        <w:rPr>
          <w:rFonts w:eastAsiaTheme="minorHAnsi"/>
          <w:color w:val="000000"/>
        </w:rPr>
        <w:t xml:space="preserve"> LCDs</w:t>
      </w:r>
      <w:r w:rsidR="009550DC">
        <w:rPr>
          <w:rFonts w:eastAsiaTheme="minorHAnsi"/>
          <w:color w:val="000000"/>
        </w:rPr>
        <w:t>, and Medicare Coverage Articles</w:t>
      </w:r>
      <w:r w:rsidRPr="00146C6E">
        <w:rPr>
          <w:rFonts w:eastAsiaTheme="minorHAnsi"/>
          <w:color w:val="000000"/>
        </w:rPr>
        <w:t xml:space="preserve"> 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23"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42CF9E5D" w14:textId="77777777" w:rsidR="00875924" w:rsidRPr="00146C6E" w:rsidRDefault="00875924" w:rsidP="00146C6E">
      <w:pPr>
        <w:rPr>
          <w:iCs/>
        </w:rPr>
      </w:pPr>
    </w:p>
    <w:p w14:paraId="0DD48DFD" w14:textId="766703F9" w:rsidR="00C75BD4" w:rsidRPr="00FB5692" w:rsidRDefault="00C75BD4" w:rsidP="00AF5490">
      <w:pPr>
        <w:rPr>
          <w:iCs/>
        </w:rPr>
      </w:pPr>
      <w:r w:rsidRPr="00146C6E">
        <w:rPr>
          <w:iCs/>
        </w:rPr>
        <w:t>©201</w:t>
      </w:r>
      <w:r w:rsidR="00493710" w:rsidRPr="00146C6E">
        <w:rPr>
          <w:iCs/>
        </w:rPr>
        <w:t>6</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sectPr w:rsidR="00C75BD4" w:rsidRPr="00FB5692" w:rsidSect="0035416C">
      <w:type w:val="continuous"/>
      <w:pgSz w:w="12240" w:h="15840" w:code="1"/>
      <w:pgMar w:top="1440" w:right="126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D719" w14:textId="77777777" w:rsidR="00CE53BE" w:rsidRDefault="00CE53BE">
      <w:r>
        <w:separator/>
      </w:r>
    </w:p>
  </w:endnote>
  <w:endnote w:type="continuationSeparator" w:id="0">
    <w:p w14:paraId="31D6162A" w14:textId="77777777" w:rsidR="00CE53BE" w:rsidRDefault="00CE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AE12" w14:textId="4689CC50" w:rsidR="00902E3A" w:rsidRPr="00D574CA" w:rsidRDefault="00902E3A" w:rsidP="00D574CA">
    <w:pPr>
      <w:pStyle w:val="Footer"/>
      <w:jc w:val="center"/>
    </w:pPr>
    <w:r>
      <w:t xml:space="preserve">Page </w:t>
    </w:r>
    <w:r>
      <w:rPr>
        <w:b/>
        <w:bCs/>
      </w:rPr>
      <w:fldChar w:fldCharType="begin"/>
    </w:r>
    <w:r>
      <w:rPr>
        <w:b/>
        <w:bCs/>
      </w:rPr>
      <w:instrText xml:space="preserve"> PAGE </w:instrText>
    </w:r>
    <w:r>
      <w:rPr>
        <w:b/>
        <w:bCs/>
      </w:rPr>
      <w:fldChar w:fldCharType="separate"/>
    </w:r>
    <w:r w:rsidR="00CF7385">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CF7385">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1ECC" w14:textId="68ADA7A8" w:rsidR="00902E3A" w:rsidRDefault="00902E3A" w:rsidP="002C6AAB">
    <w:pPr>
      <w:pStyle w:val="Footer"/>
      <w:jc w:val="center"/>
    </w:pPr>
    <w:r>
      <w:t xml:space="preserve">Page </w:t>
    </w:r>
    <w:r>
      <w:fldChar w:fldCharType="begin"/>
    </w:r>
    <w:r>
      <w:instrText xml:space="preserve"> PAGE   \* MERGEFORMAT </w:instrText>
    </w:r>
    <w:r>
      <w:fldChar w:fldCharType="separate"/>
    </w:r>
    <w:r w:rsidR="00CF7385">
      <w:rPr>
        <w:noProof/>
      </w:rPr>
      <w:t>1</w:t>
    </w:r>
    <w:r>
      <w:fldChar w:fldCharType="end"/>
    </w:r>
    <w:r>
      <w:t xml:space="preserve"> of </w:t>
    </w:r>
    <w:r w:rsidR="0037678A">
      <w:rPr>
        <w:noProof/>
      </w:rPr>
      <w:fldChar w:fldCharType="begin"/>
    </w:r>
    <w:r w:rsidR="0037678A">
      <w:rPr>
        <w:noProof/>
      </w:rPr>
      <w:instrText xml:space="preserve"> NUMPAGES   \* MERGEFORMAT </w:instrText>
    </w:r>
    <w:r w:rsidR="0037678A">
      <w:rPr>
        <w:noProof/>
      </w:rPr>
      <w:fldChar w:fldCharType="separate"/>
    </w:r>
    <w:r w:rsidR="00CF7385">
      <w:rPr>
        <w:noProof/>
      </w:rPr>
      <w:t>9</w:t>
    </w:r>
    <w:r w:rsidR="003767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862AE" w14:textId="77777777" w:rsidR="00CE53BE" w:rsidRDefault="00CE53BE">
      <w:r>
        <w:separator/>
      </w:r>
    </w:p>
  </w:footnote>
  <w:footnote w:type="continuationSeparator" w:id="0">
    <w:p w14:paraId="2EA8DAD5" w14:textId="77777777" w:rsidR="00CE53BE" w:rsidRDefault="00CE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F9F70" w14:textId="77777777" w:rsidR="00902E3A" w:rsidRPr="00B777AF" w:rsidRDefault="00902E3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260B163F" wp14:editId="126136F9">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36748167" w14:textId="77777777" w:rsidR="00902E3A" w:rsidRPr="00B777AF" w:rsidRDefault="00902E3A" w:rsidP="00B777AF">
    <w:pPr>
      <w:rPr>
        <w:color w:val="00548C"/>
      </w:rPr>
    </w:pPr>
    <w:r>
      <w:rPr>
        <w:rFonts w:ascii="Times New Roman Bold" w:hAnsi="Times New Roman Bold"/>
        <w:b/>
        <w:bCs/>
        <w:color w:val="00548C"/>
      </w:rPr>
      <w:t xml:space="preserve">Diagnostic Testing of </w:t>
    </w:r>
    <w:proofErr w:type="spellStart"/>
    <w:r>
      <w:rPr>
        <w:rFonts w:ascii="Times New Roman Bold" w:hAnsi="Times New Roman Bold"/>
        <w:b/>
        <w:bCs/>
        <w:color w:val="00548C"/>
      </w:rPr>
      <w:t>Zika</w:t>
    </w:r>
    <w:proofErr w:type="spellEnd"/>
    <w:r>
      <w:rPr>
        <w:rFonts w:ascii="Times New Roman Bold" w:hAnsi="Times New Roman Bold"/>
        <w:b/>
        <w:bCs/>
        <w:color w:val="00548C"/>
      </w:rPr>
      <w:t xml:space="preserve"> Virus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C862" w14:textId="77777777" w:rsidR="00902E3A" w:rsidRDefault="00902E3A" w:rsidP="00B777AF">
    <w:pPr>
      <w:pStyle w:val="Header"/>
      <w:jc w:val="right"/>
    </w:pPr>
    <w:r>
      <w:rPr>
        <w:noProof/>
      </w:rPr>
      <w:drawing>
        <wp:inline distT="0" distB="0" distL="0" distR="0" wp14:anchorId="368697E5" wp14:editId="647DF0D3">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31AAA"/>
    <w:multiLevelType w:val="hybridMultilevel"/>
    <w:tmpl w:val="60CC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E1D57"/>
    <w:multiLevelType w:val="hybridMultilevel"/>
    <w:tmpl w:val="737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502360"/>
    <w:multiLevelType w:val="hybridMultilevel"/>
    <w:tmpl w:val="9FC01D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32229"/>
    <w:multiLevelType w:val="hybridMultilevel"/>
    <w:tmpl w:val="55CCE7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117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9"/>
  </w:num>
  <w:num w:numId="4">
    <w:abstractNumId w:val="12"/>
  </w:num>
  <w:num w:numId="5">
    <w:abstractNumId w:val="13"/>
  </w:num>
  <w:num w:numId="6">
    <w:abstractNumId w:val="18"/>
  </w:num>
  <w:num w:numId="7">
    <w:abstractNumId w:val="20"/>
  </w:num>
  <w:num w:numId="8">
    <w:abstractNumId w:val="1"/>
  </w:num>
  <w:num w:numId="9">
    <w:abstractNumId w:val="15"/>
  </w:num>
  <w:num w:numId="10">
    <w:abstractNumId w:val="7"/>
  </w:num>
  <w:num w:numId="11">
    <w:abstractNumId w:val="22"/>
  </w:num>
  <w:num w:numId="12">
    <w:abstractNumId w:val="11"/>
  </w:num>
  <w:num w:numId="13">
    <w:abstractNumId w:val="10"/>
  </w:num>
  <w:num w:numId="14">
    <w:abstractNumId w:val="3"/>
  </w:num>
  <w:num w:numId="15">
    <w:abstractNumId w:val="8"/>
  </w:num>
  <w:num w:numId="16">
    <w:abstractNumId w:val="21"/>
  </w:num>
  <w:num w:numId="17">
    <w:abstractNumId w:val="16"/>
  </w:num>
  <w:num w:numId="18">
    <w:abstractNumId w:val="14"/>
  </w:num>
  <w:num w:numId="19">
    <w:abstractNumId w:val="6"/>
  </w:num>
  <w:num w:numId="20">
    <w:abstractNumId w:val="2"/>
  </w:num>
  <w:num w:numId="21">
    <w:abstractNumId w:val="4"/>
  </w:num>
  <w:num w:numId="22">
    <w:abstractNumId w:val="5"/>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1F5D"/>
    <w:rsid w:val="000025EE"/>
    <w:rsid w:val="00020B9D"/>
    <w:rsid w:val="000213B8"/>
    <w:rsid w:val="00032D3F"/>
    <w:rsid w:val="000336F4"/>
    <w:rsid w:val="00033F9B"/>
    <w:rsid w:val="00042DB3"/>
    <w:rsid w:val="0004311E"/>
    <w:rsid w:val="00043892"/>
    <w:rsid w:val="000465DE"/>
    <w:rsid w:val="0004733E"/>
    <w:rsid w:val="00050613"/>
    <w:rsid w:val="000521AF"/>
    <w:rsid w:val="00053776"/>
    <w:rsid w:val="00054016"/>
    <w:rsid w:val="00060509"/>
    <w:rsid w:val="00062D81"/>
    <w:rsid w:val="000633D7"/>
    <w:rsid w:val="00064204"/>
    <w:rsid w:val="00066AAB"/>
    <w:rsid w:val="00066E62"/>
    <w:rsid w:val="000719ED"/>
    <w:rsid w:val="00083740"/>
    <w:rsid w:val="00093FC0"/>
    <w:rsid w:val="00094136"/>
    <w:rsid w:val="000963F5"/>
    <w:rsid w:val="000A1498"/>
    <w:rsid w:val="000B1513"/>
    <w:rsid w:val="000B6130"/>
    <w:rsid w:val="000B7F72"/>
    <w:rsid w:val="000D453E"/>
    <w:rsid w:val="000D61D3"/>
    <w:rsid w:val="000E7FB4"/>
    <w:rsid w:val="000F0985"/>
    <w:rsid w:val="000F10C2"/>
    <w:rsid w:val="00101475"/>
    <w:rsid w:val="00110D14"/>
    <w:rsid w:val="00111D66"/>
    <w:rsid w:val="00112CF4"/>
    <w:rsid w:val="001148A8"/>
    <w:rsid w:val="001203A5"/>
    <w:rsid w:val="001220F4"/>
    <w:rsid w:val="001227E5"/>
    <w:rsid w:val="00127359"/>
    <w:rsid w:val="00132CAD"/>
    <w:rsid w:val="0014316D"/>
    <w:rsid w:val="00146C6E"/>
    <w:rsid w:val="00154182"/>
    <w:rsid w:val="00161E36"/>
    <w:rsid w:val="00170B14"/>
    <w:rsid w:val="001760DF"/>
    <w:rsid w:val="001818D7"/>
    <w:rsid w:val="00185104"/>
    <w:rsid w:val="0018553B"/>
    <w:rsid w:val="0019305E"/>
    <w:rsid w:val="0019541A"/>
    <w:rsid w:val="00195E12"/>
    <w:rsid w:val="001962BE"/>
    <w:rsid w:val="00196689"/>
    <w:rsid w:val="00196935"/>
    <w:rsid w:val="0019746F"/>
    <w:rsid w:val="001B0B48"/>
    <w:rsid w:val="001B2F5F"/>
    <w:rsid w:val="001B36D6"/>
    <w:rsid w:val="001B3C17"/>
    <w:rsid w:val="001B4B02"/>
    <w:rsid w:val="001B5739"/>
    <w:rsid w:val="001C142D"/>
    <w:rsid w:val="001D0D34"/>
    <w:rsid w:val="001D70D4"/>
    <w:rsid w:val="001D788B"/>
    <w:rsid w:val="001E0C33"/>
    <w:rsid w:val="001E7D12"/>
    <w:rsid w:val="001F2BE8"/>
    <w:rsid w:val="00201CEB"/>
    <w:rsid w:val="002051CC"/>
    <w:rsid w:val="0020675F"/>
    <w:rsid w:val="002113E4"/>
    <w:rsid w:val="0021341C"/>
    <w:rsid w:val="00214495"/>
    <w:rsid w:val="00220736"/>
    <w:rsid w:val="002245BB"/>
    <w:rsid w:val="00230FE4"/>
    <w:rsid w:val="00233651"/>
    <w:rsid w:val="00235A33"/>
    <w:rsid w:val="0024354A"/>
    <w:rsid w:val="00254020"/>
    <w:rsid w:val="0025452A"/>
    <w:rsid w:val="00255B06"/>
    <w:rsid w:val="00265301"/>
    <w:rsid w:val="00266A5E"/>
    <w:rsid w:val="0027347E"/>
    <w:rsid w:val="00281587"/>
    <w:rsid w:val="0028405C"/>
    <w:rsid w:val="00284129"/>
    <w:rsid w:val="002858FD"/>
    <w:rsid w:val="00285997"/>
    <w:rsid w:val="00297AE2"/>
    <w:rsid w:val="002A1D95"/>
    <w:rsid w:val="002A1DC9"/>
    <w:rsid w:val="002A39EE"/>
    <w:rsid w:val="002B0582"/>
    <w:rsid w:val="002C6AAB"/>
    <w:rsid w:val="002D019A"/>
    <w:rsid w:val="002D1A6E"/>
    <w:rsid w:val="002E48E7"/>
    <w:rsid w:val="002F4D10"/>
    <w:rsid w:val="0030007D"/>
    <w:rsid w:val="00301578"/>
    <w:rsid w:val="003140D6"/>
    <w:rsid w:val="0031557B"/>
    <w:rsid w:val="00315F59"/>
    <w:rsid w:val="00323A62"/>
    <w:rsid w:val="00327BF8"/>
    <w:rsid w:val="00334CA0"/>
    <w:rsid w:val="00334E97"/>
    <w:rsid w:val="00336E37"/>
    <w:rsid w:val="00350F22"/>
    <w:rsid w:val="003537FC"/>
    <w:rsid w:val="0035416C"/>
    <w:rsid w:val="00356F20"/>
    <w:rsid w:val="00372364"/>
    <w:rsid w:val="003734F8"/>
    <w:rsid w:val="0037377B"/>
    <w:rsid w:val="0037678A"/>
    <w:rsid w:val="00376F86"/>
    <w:rsid w:val="003840CC"/>
    <w:rsid w:val="00385418"/>
    <w:rsid w:val="003930E5"/>
    <w:rsid w:val="003B4943"/>
    <w:rsid w:val="003C068F"/>
    <w:rsid w:val="003C1034"/>
    <w:rsid w:val="003D2F58"/>
    <w:rsid w:val="003D41DC"/>
    <w:rsid w:val="003D766A"/>
    <w:rsid w:val="003D7BE7"/>
    <w:rsid w:val="003E186C"/>
    <w:rsid w:val="003E70DE"/>
    <w:rsid w:val="003F2FEA"/>
    <w:rsid w:val="003F3D44"/>
    <w:rsid w:val="003F44B1"/>
    <w:rsid w:val="0041108C"/>
    <w:rsid w:val="00440541"/>
    <w:rsid w:val="00447D5C"/>
    <w:rsid w:val="004504C3"/>
    <w:rsid w:val="00461325"/>
    <w:rsid w:val="00464629"/>
    <w:rsid w:val="00472C6C"/>
    <w:rsid w:val="004763B3"/>
    <w:rsid w:val="00480C09"/>
    <w:rsid w:val="004876DF"/>
    <w:rsid w:val="00493710"/>
    <w:rsid w:val="00496BCF"/>
    <w:rsid w:val="004977C8"/>
    <w:rsid w:val="00497AED"/>
    <w:rsid w:val="004B17B2"/>
    <w:rsid w:val="004B6009"/>
    <w:rsid w:val="004D4033"/>
    <w:rsid w:val="004D49C9"/>
    <w:rsid w:val="004D57DF"/>
    <w:rsid w:val="004D5E47"/>
    <w:rsid w:val="004E0B99"/>
    <w:rsid w:val="004E1F29"/>
    <w:rsid w:val="004F03EC"/>
    <w:rsid w:val="004F564A"/>
    <w:rsid w:val="004F6394"/>
    <w:rsid w:val="004F6473"/>
    <w:rsid w:val="00503CCD"/>
    <w:rsid w:val="00505830"/>
    <w:rsid w:val="00507AE2"/>
    <w:rsid w:val="005103B8"/>
    <w:rsid w:val="00517A3A"/>
    <w:rsid w:val="00524988"/>
    <w:rsid w:val="005322D4"/>
    <w:rsid w:val="005423D4"/>
    <w:rsid w:val="00552A70"/>
    <w:rsid w:val="005537B0"/>
    <w:rsid w:val="005560A5"/>
    <w:rsid w:val="005631C7"/>
    <w:rsid w:val="00565DA8"/>
    <w:rsid w:val="005776FD"/>
    <w:rsid w:val="00583376"/>
    <w:rsid w:val="00591FCC"/>
    <w:rsid w:val="005C05E5"/>
    <w:rsid w:val="005C0ABB"/>
    <w:rsid w:val="005C17DF"/>
    <w:rsid w:val="005C1D91"/>
    <w:rsid w:val="005C3607"/>
    <w:rsid w:val="005C75F8"/>
    <w:rsid w:val="005D009F"/>
    <w:rsid w:val="005D5146"/>
    <w:rsid w:val="005D7B81"/>
    <w:rsid w:val="005D7D6D"/>
    <w:rsid w:val="005E3367"/>
    <w:rsid w:val="005E3830"/>
    <w:rsid w:val="005E411E"/>
    <w:rsid w:val="005E7E07"/>
    <w:rsid w:val="005F22A7"/>
    <w:rsid w:val="005F7B0C"/>
    <w:rsid w:val="0060725F"/>
    <w:rsid w:val="00613F80"/>
    <w:rsid w:val="00615FA6"/>
    <w:rsid w:val="00626DB4"/>
    <w:rsid w:val="00634ED4"/>
    <w:rsid w:val="00642A68"/>
    <w:rsid w:val="00643AB1"/>
    <w:rsid w:val="006474BB"/>
    <w:rsid w:val="00657402"/>
    <w:rsid w:val="006664E9"/>
    <w:rsid w:val="00671E3B"/>
    <w:rsid w:val="00673684"/>
    <w:rsid w:val="006747ED"/>
    <w:rsid w:val="00677FC9"/>
    <w:rsid w:val="00685D21"/>
    <w:rsid w:val="00687E74"/>
    <w:rsid w:val="006A6948"/>
    <w:rsid w:val="006B6285"/>
    <w:rsid w:val="006B6B2C"/>
    <w:rsid w:val="006C1350"/>
    <w:rsid w:val="006C27DB"/>
    <w:rsid w:val="006C2B7F"/>
    <w:rsid w:val="006C4D66"/>
    <w:rsid w:val="006C5705"/>
    <w:rsid w:val="006C74DF"/>
    <w:rsid w:val="006D1298"/>
    <w:rsid w:val="006D51D5"/>
    <w:rsid w:val="006D6833"/>
    <w:rsid w:val="006E0C89"/>
    <w:rsid w:val="006E59D5"/>
    <w:rsid w:val="006F4D70"/>
    <w:rsid w:val="0071145D"/>
    <w:rsid w:val="007114A0"/>
    <w:rsid w:val="00720B71"/>
    <w:rsid w:val="007218AF"/>
    <w:rsid w:val="00744250"/>
    <w:rsid w:val="00746449"/>
    <w:rsid w:val="007534F6"/>
    <w:rsid w:val="007601CF"/>
    <w:rsid w:val="00772A8D"/>
    <w:rsid w:val="00772CB9"/>
    <w:rsid w:val="007764CE"/>
    <w:rsid w:val="007848BE"/>
    <w:rsid w:val="00792D76"/>
    <w:rsid w:val="00796778"/>
    <w:rsid w:val="007A0BCC"/>
    <w:rsid w:val="007B07AE"/>
    <w:rsid w:val="007B50D0"/>
    <w:rsid w:val="007D11C4"/>
    <w:rsid w:val="007D4801"/>
    <w:rsid w:val="007D6ED3"/>
    <w:rsid w:val="007E08CC"/>
    <w:rsid w:val="007F1F19"/>
    <w:rsid w:val="007F25C4"/>
    <w:rsid w:val="007F2C3B"/>
    <w:rsid w:val="0080335C"/>
    <w:rsid w:val="008133CE"/>
    <w:rsid w:val="00830D28"/>
    <w:rsid w:val="00834B8F"/>
    <w:rsid w:val="008431F1"/>
    <w:rsid w:val="00843E1F"/>
    <w:rsid w:val="0085116A"/>
    <w:rsid w:val="0085741A"/>
    <w:rsid w:val="00857C10"/>
    <w:rsid w:val="00862BFB"/>
    <w:rsid w:val="00865A8E"/>
    <w:rsid w:val="0087066C"/>
    <w:rsid w:val="008752B5"/>
    <w:rsid w:val="00875924"/>
    <w:rsid w:val="00877EC7"/>
    <w:rsid w:val="00884307"/>
    <w:rsid w:val="00893E28"/>
    <w:rsid w:val="00895017"/>
    <w:rsid w:val="00895BDD"/>
    <w:rsid w:val="00896E94"/>
    <w:rsid w:val="008B0705"/>
    <w:rsid w:val="008B1A87"/>
    <w:rsid w:val="008B4330"/>
    <w:rsid w:val="008B6071"/>
    <w:rsid w:val="008B6A0B"/>
    <w:rsid w:val="008C3511"/>
    <w:rsid w:val="008C6B3A"/>
    <w:rsid w:val="008D0E3D"/>
    <w:rsid w:val="008F726A"/>
    <w:rsid w:val="009029E6"/>
    <w:rsid w:val="00902C9B"/>
    <w:rsid w:val="00902E3A"/>
    <w:rsid w:val="009135E0"/>
    <w:rsid w:val="00915CA4"/>
    <w:rsid w:val="0091744D"/>
    <w:rsid w:val="00925B83"/>
    <w:rsid w:val="0092784D"/>
    <w:rsid w:val="0094128C"/>
    <w:rsid w:val="00950820"/>
    <w:rsid w:val="00951A2F"/>
    <w:rsid w:val="009550DC"/>
    <w:rsid w:val="00961071"/>
    <w:rsid w:val="009625A5"/>
    <w:rsid w:val="00963062"/>
    <w:rsid w:val="009664D7"/>
    <w:rsid w:val="00972225"/>
    <w:rsid w:val="009735FA"/>
    <w:rsid w:val="0097496D"/>
    <w:rsid w:val="00977ECA"/>
    <w:rsid w:val="00982180"/>
    <w:rsid w:val="00983BF9"/>
    <w:rsid w:val="00985810"/>
    <w:rsid w:val="009858C2"/>
    <w:rsid w:val="009928B2"/>
    <w:rsid w:val="00992F31"/>
    <w:rsid w:val="009A4203"/>
    <w:rsid w:val="009C1038"/>
    <w:rsid w:val="009C61B2"/>
    <w:rsid w:val="009C6866"/>
    <w:rsid w:val="009D5928"/>
    <w:rsid w:val="009E6F29"/>
    <w:rsid w:val="009F103E"/>
    <w:rsid w:val="00A00F93"/>
    <w:rsid w:val="00A04035"/>
    <w:rsid w:val="00A16AF7"/>
    <w:rsid w:val="00A20F73"/>
    <w:rsid w:val="00A254AF"/>
    <w:rsid w:val="00A3123D"/>
    <w:rsid w:val="00A37A8F"/>
    <w:rsid w:val="00A41969"/>
    <w:rsid w:val="00A60413"/>
    <w:rsid w:val="00A6576E"/>
    <w:rsid w:val="00A67B22"/>
    <w:rsid w:val="00A83658"/>
    <w:rsid w:val="00A84E11"/>
    <w:rsid w:val="00A85489"/>
    <w:rsid w:val="00A87816"/>
    <w:rsid w:val="00A87B1F"/>
    <w:rsid w:val="00A93070"/>
    <w:rsid w:val="00AA1FA9"/>
    <w:rsid w:val="00AA336E"/>
    <w:rsid w:val="00AA428E"/>
    <w:rsid w:val="00AA499A"/>
    <w:rsid w:val="00AB7B3E"/>
    <w:rsid w:val="00AC60B5"/>
    <w:rsid w:val="00AD1AA6"/>
    <w:rsid w:val="00AD20DE"/>
    <w:rsid w:val="00AD29B9"/>
    <w:rsid w:val="00AE0982"/>
    <w:rsid w:val="00AE63E0"/>
    <w:rsid w:val="00AE6E5F"/>
    <w:rsid w:val="00AF1F2A"/>
    <w:rsid w:val="00AF30EF"/>
    <w:rsid w:val="00AF5490"/>
    <w:rsid w:val="00B031C6"/>
    <w:rsid w:val="00B06171"/>
    <w:rsid w:val="00B07C74"/>
    <w:rsid w:val="00B206A3"/>
    <w:rsid w:val="00B22253"/>
    <w:rsid w:val="00B268E5"/>
    <w:rsid w:val="00B36672"/>
    <w:rsid w:val="00B401BF"/>
    <w:rsid w:val="00B4633B"/>
    <w:rsid w:val="00B464D5"/>
    <w:rsid w:val="00B51675"/>
    <w:rsid w:val="00B532C9"/>
    <w:rsid w:val="00B562E4"/>
    <w:rsid w:val="00B639F6"/>
    <w:rsid w:val="00B65E1D"/>
    <w:rsid w:val="00B71B09"/>
    <w:rsid w:val="00B71FD4"/>
    <w:rsid w:val="00B769D4"/>
    <w:rsid w:val="00B777AF"/>
    <w:rsid w:val="00B81789"/>
    <w:rsid w:val="00B817D8"/>
    <w:rsid w:val="00B92DF1"/>
    <w:rsid w:val="00B92ED1"/>
    <w:rsid w:val="00BA67E2"/>
    <w:rsid w:val="00BB1933"/>
    <w:rsid w:val="00BD052B"/>
    <w:rsid w:val="00BD2C96"/>
    <w:rsid w:val="00BD35DA"/>
    <w:rsid w:val="00BE3C47"/>
    <w:rsid w:val="00BF0112"/>
    <w:rsid w:val="00BF052F"/>
    <w:rsid w:val="00BF4150"/>
    <w:rsid w:val="00C0182E"/>
    <w:rsid w:val="00C01AA6"/>
    <w:rsid w:val="00C03CF2"/>
    <w:rsid w:val="00C06257"/>
    <w:rsid w:val="00C07074"/>
    <w:rsid w:val="00C079B0"/>
    <w:rsid w:val="00C11FD2"/>
    <w:rsid w:val="00C1417B"/>
    <w:rsid w:val="00C14250"/>
    <w:rsid w:val="00C228E3"/>
    <w:rsid w:val="00C2297C"/>
    <w:rsid w:val="00C22CDB"/>
    <w:rsid w:val="00C324EA"/>
    <w:rsid w:val="00C349DA"/>
    <w:rsid w:val="00C3611D"/>
    <w:rsid w:val="00C445BD"/>
    <w:rsid w:val="00C468D2"/>
    <w:rsid w:val="00C64BB4"/>
    <w:rsid w:val="00C65F6D"/>
    <w:rsid w:val="00C6630E"/>
    <w:rsid w:val="00C704AC"/>
    <w:rsid w:val="00C73CF5"/>
    <w:rsid w:val="00C75BD4"/>
    <w:rsid w:val="00C93BB5"/>
    <w:rsid w:val="00C945EC"/>
    <w:rsid w:val="00C96847"/>
    <w:rsid w:val="00CA53B9"/>
    <w:rsid w:val="00CA5C08"/>
    <w:rsid w:val="00CE112E"/>
    <w:rsid w:val="00CE36BE"/>
    <w:rsid w:val="00CE5342"/>
    <w:rsid w:val="00CE53BE"/>
    <w:rsid w:val="00CF2624"/>
    <w:rsid w:val="00CF3BEE"/>
    <w:rsid w:val="00CF5248"/>
    <w:rsid w:val="00CF7385"/>
    <w:rsid w:val="00D0361D"/>
    <w:rsid w:val="00D04584"/>
    <w:rsid w:val="00D14675"/>
    <w:rsid w:val="00D215C2"/>
    <w:rsid w:val="00D235D0"/>
    <w:rsid w:val="00D273C4"/>
    <w:rsid w:val="00D36448"/>
    <w:rsid w:val="00D41AE3"/>
    <w:rsid w:val="00D52381"/>
    <w:rsid w:val="00D5542F"/>
    <w:rsid w:val="00D574CA"/>
    <w:rsid w:val="00D64CB3"/>
    <w:rsid w:val="00D66AAB"/>
    <w:rsid w:val="00D67A88"/>
    <w:rsid w:val="00D67C6D"/>
    <w:rsid w:val="00D71BC4"/>
    <w:rsid w:val="00D72D08"/>
    <w:rsid w:val="00D735E0"/>
    <w:rsid w:val="00D76771"/>
    <w:rsid w:val="00D86CDC"/>
    <w:rsid w:val="00D90DDA"/>
    <w:rsid w:val="00DA02A4"/>
    <w:rsid w:val="00DA6E7D"/>
    <w:rsid w:val="00DA7DCA"/>
    <w:rsid w:val="00DB18FA"/>
    <w:rsid w:val="00DB1DE9"/>
    <w:rsid w:val="00DB7073"/>
    <w:rsid w:val="00DC2F5E"/>
    <w:rsid w:val="00DC32A6"/>
    <w:rsid w:val="00DC4C23"/>
    <w:rsid w:val="00DD025A"/>
    <w:rsid w:val="00DD1DA1"/>
    <w:rsid w:val="00DD5F64"/>
    <w:rsid w:val="00DD68B5"/>
    <w:rsid w:val="00DD6ADB"/>
    <w:rsid w:val="00DD6AE5"/>
    <w:rsid w:val="00DD77C4"/>
    <w:rsid w:val="00DD7D7A"/>
    <w:rsid w:val="00DE18E2"/>
    <w:rsid w:val="00DE1B03"/>
    <w:rsid w:val="00DF1138"/>
    <w:rsid w:val="00DF283D"/>
    <w:rsid w:val="00DF5F61"/>
    <w:rsid w:val="00E07778"/>
    <w:rsid w:val="00E07DFA"/>
    <w:rsid w:val="00E14724"/>
    <w:rsid w:val="00E152CB"/>
    <w:rsid w:val="00E24820"/>
    <w:rsid w:val="00E3222B"/>
    <w:rsid w:val="00E32A70"/>
    <w:rsid w:val="00E35D35"/>
    <w:rsid w:val="00E369A8"/>
    <w:rsid w:val="00E51FFA"/>
    <w:rsid w:val="00E568C1"/>
    <w:rsid w:val="00E6200F"/>
    <w:rsid w:val="00E631E4"/>
    <w:rsid w:val="00E737C4"/>
    <w:rsid w:val="00E83FD7"/>
    <w:rsid w:val="00E90DCB"/>
    <w:rsid w:val="00E9378F"/>
    <w:rsid w:val="00E97C17"/>
    <w:rsid w:val="00EA3809"/>
    <w:rsid w:val="00EA7DA7"/>
    <w:rsid w:val="00EB24AC"/>
    <w:rsid w:val="00EC54A0"/>
    <w:rsid w:val="00ED09E5"/>
    <w:rsid w:val="00ED0A0D"/>
    <w:rsid w:val="00ED123C"/>
    <w:rsid w:val="00ED55A4"/>
    <w:rsid w:val="00ED6C7B"/>
    <w:rsid w:val="00EE76F8"/>
    <w:rsid w:val="00EE7709"/>
    <w:rsid w:val="00EE7B0C"/>
    <w:rsid w:val="00F03950"/>
    <w:rsid w:val="00F03DC0"/>
    <w:rsid w:val="00F04548"/>
    <w:rsid w:val="00F05512"/>
    <w:rsid w:val="00F10BD4"/>
    <w:rsid w:val="00F2705D"/>
    <w:rsid w:val="00F40AE6"/>
    <w:rsid w:val="00F422E1"/>
    <w:rsid w:val="00F43C85"/>
    <w:rsid w:val="00F55C39"/>
    <w:rsid w:val="00F661C5"/>
    <w:rsid w:val="00F67BBD"/>
    <w:rsid w:val="00F71455"/>
    <w:rsid w:val="00F71F8E"/>
    <w:rsid w:val="00F74762"/>
    <w:rsid w:val="00F81471"/>
    <w:rsid w:val="00F8213D"/>
    <w:rsid w:val="00F91C7A"/>
    <w:rsid w:val="00F95133"/>
    <w:rsid w:val="00FA0E16"/>
    <w:rsid w:val="00FA2755"/>
    <w:rsid w:val="00FA5A3B"/>
    <w:rsid w:val="00FB0592"/>
    <w:rsid w:val="00FB139B"/>
    <w:rsid w:val="00FB5692"/>
    <w:rsid w:val="00FC037A"/>
    <w:rsid w:val="00FC1284"/>
    <w:rsid w:val="00FC12DB"/>
    <w:rsid w:val="00FC594B"/>
    <w:rsid w:val="00FC6831"/>
    <w:rsid w:val="00FC6FF7"/>
    <w:rsid w:val="00FD0FC6"/>
    <w:rsid w:val="00FD59BE"/>
    <w:rsid w:val="00FD69F4"/>
    <w:rsid w:val="00FD71D7"/>
    <w:rsid w:val="00FE073D"/>
    <w:rsid w:val="00FE290A"/>
    <w:rsid w:val="00FE6001"/>
    <w:rsid w:val="00FF0615"/>
    <w:rsid w:val="00FF397D"/>
    <w:rsid w:val="00FF4519"/>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C221A"/>
  <w15:docId w15:val="{7BA427BD-3A37-481D-8745-0E9FF83C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B36672"/>
    <w:pPr>
      <w:ind w:left="720"/>
      <w:contextualSpacing/>
    </w:pPr>
  </w:style>
  <w:style w:type="character" w:customStyle="1" w:styleId="apple-converted-space">
    <w:name w:val="apple-converted-space"/>
    <w:basedOn w:val="DefaultParagraphFont"/>
    <w:rsid w:val="00F04548"/>
  </w:style>
  <w:style w:type="paragraph" w:styleId="Revision">
    <w:name w:val="Revision"/>
    <w:hidden/>
    <w:uiPriority w:val="99"/>
    <w:semiHidden/>
    <w:rsid w:val="003B49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dx.doi.org/10.15585/mmwr.mm6641a1" TargetMode="External"/><Relationship Id="rId3" Type="http://schemas.openxmlformats.org/officeDocument/2006/relationships/customXml" Target="../customXml/item3.xml"/><Relationship Id="rId21" Type="http://schemas.openxmlformats.org/officeDocument/2006/relationships/hyperlink" Target="https://emergency.cdc.gov/han/han00402.as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c.gov/zika/hc-providers/testing-guidanc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entene.com\dept\STL\Med_Serv\Policies%20and%20Procedures\Corporate%20Medical%20Policy%20-%20Clinical%20Policy%20Committee\Clinical%20Policies%200708%20forward\_Current%20Projects\_Next%20Round\20190514\051419%20CPC%20Policies\%20" TargetMode="External"/><Relationship Id="rId20" Type="http://schemas.openxmlformats.org/officeDocument/2006/relationships/hyperlink" Target="https://www.cdc.gov/zika/laboratories/lab-guidanc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x.doi.org/10.15585/mmwr.mm6539e1" TargetMode="External"/><Relationship Id="rId23" Type="http://schemas.openxmlformats.org/officeDocument/2006/relationships/hyperlink" Target="http://www.cms.gov" TargetMode="External"/><Relationship Id="rId10" Type="http://schemas.openxmlformats.org/officeDocument/2006/relationships/endnotes" Target="endnotes.xml"/><Relationship Id="rId19" Type="http://schemas.openxmlformats.org/officeDocument/2006/relationships/hyperlink" Target="http://dx.doi.org/10.15585/mmwr.mm6521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dx.doi.org/10.15585/mmwr.mm6709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8D66-AA90-4DA5-9977-12C52D726F57}">
  <ds:schemaRefs>
    <ds:schemaRef ds:uri="http://schemas.microsoft.com/sharepoint/v3/contenttype/forms"/>
  </ds:schemaRefs>
</ds:datastoreItem>
</file>

<file path=customXml/itemProps2.xml><?xml version="1.0" encoding="utf-8"?>
<ds:datastoreItem xmlns:ds="http://schemas.openxmlformats.org/officeDocument/2006/customXml" ds:itemID="{EAE6E9D3-15B0-4CCD-A7CF-2AB131F3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92EE86-60FA-4E7E-A94B-C67FD946C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A13B79-3D68-4CCC-94C7-3EB2A76D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3968</Words>
  <Characters>23256</Characters>
  <Application>Microsoft Office Word</Application>
  <DocSecurity>0</DocSecurity>
  <Lines>400</Lines>
  <Paragraphs>129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Emily C. Mahan</cp:lastModifiedBy>
  <cp:revision>3</cp:revision>
  <cp:lastPrinted>2019-04-26T21:09:00Z</cp:lastPrinted>
  <dcterms:created xsi:type="dcterms:W3CDTF">2019-05-22T18:48:00Z</dcterms:created>
  <dcterms:modified xsi:type="dcterms:W3CDTF">2019-05-22T18:54:00Z</dcterms:modified>
</cp:coreProperties>
</file>